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2A" w:rsidRDefault="00640F2A" w:rsidP="0087550E">
      <w:pPr>
        <w:spacing w:after="0" w:line="240" w:lineRule="auto"/>
        <w:jc w:val="center"/>
        <w:rPr>
          <w:rStyle w:val="fontstyle01"/>
        </w:rPr>
      </w:pPr>
    </w:p>
    <w:p w:rsidR="0087550E" w:rsidRDefault="0087550E" w:rsidP="0087550E">
      <w:pPr>
        <w:spacing w:after="0" w:line="240" w:lineRule="auto"/>
        <w:jc w:val="center"/>
        <w:rPr>
          <w:rStyle w:val="fontstyle01"/>
        </w:rPr>
      </w:pPr>
      <w:r w:rsidRPr="00CF200E">
        <w:rPr>
          <w:rStyle w:val="fontstyle01"/>
        </w:rPr>
        <w:t>Карагандинский медицинский университет</w:t>
      </w: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262BBD">
      <w:pPr>
        <w:spacing w:after="0" w:line="240" w:lineRule="auto"/>
        <w:ind w:left="-51" w:hanging="6"/>
        <w:jc w:val="center"/>
        <w:rPr>
          <w:rFonts w:ascii="Times New Roman" w:eastAsia="Times New Roman" w:hAnsi="Times New Roman"/>
          <w:b/>
          <w:sz w:val="28"/>
          <w:szCs w:val="28"/>
          <w:lang w:eastAsia="ru-RU"/>
        </w:rPr>
      </w:pPr>
    </w:p>
    <w:p w:rsidR="00262BBD" w:rsidRDefault="00002324">
      <w:pPr>
        <w:spacing w:after="0" w:line="240" w:lineRule="auto"/>
        <w:ind w:left="-51" w:hanging="6"/>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АННОТАЦИЯ</w:t>
      </w:r>
    </w:p>
    <w:p w:rsidR="00262BBD" w:rsidRDefault="00262BBD">
      <w:pPr>
        <w:spacing w:after="0" w:line="240" w:lineRule="auto"/>
        <w:ind w:left="-51"/>
        <w:rPr>
          <w:rFonts w:ascii="Times New Roman" w:eastAsia="Times New Roman" w:hAnsi="Times New Roman"/>
          <w:sz w:val="28"/>
          <w:szCs w:val="28"/>
          <w:lang w:eastAsia="ru-RU"/>
        </w:rPr>
      </w:pPr>
    </w:p>
    <w:p w:rsidR="00262BBD" w:rsidRDefault="00002324">
      <w:pPr>
        <w:spacing w:after="0" w:line="240" w:lineRule="auto"/>
        <w:ind w:left="-5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диссертационной работы на соискание степени доктора философии</w:t>
      </w:r>
      <w:r w:rsidR="0087550E">
        <w:rPr>
          <w:rFonts w:ascii="Times New Roman" w:eastAsia="Times New Roman" w:hAnsi="Times New Roman"/>
          <w:sz w:val="28"/>
          <w:szCs w:val="28"/>
          <w:lang w:eastAsia="ru-RU"/>
        </w:rPr>
        <w:t xml:space="preserve"> </w:t>
      </w:r>
      <w:r w:rsidR="0087550E" w:rsidRPr="00B05FA2">
        <w:rPr>
          <w:rFonts w:ascii="Times New Roman" w:hAnsi="Times New Roman"/>
          <w:sz w:val="28"/>
          <w:szCs w:val="28"/>
        </w:rPr>
        <w:t>(</w:t>
      </w:r>
      <w:r w:rsidR="0087550E" w:rsidRPr="00B05FA2">
        <w:rPr>
          <w:rFonts w:ascii="Times New Roman" w:hAnsi="Times New Roman"/>
          <w:sz w:val="28"/>
          <w:szCs w:val="28"/>
          <w:lang w:val="en-US"/>
        </w:rPr>
        <w:t>PhD</w:t>
      </w:r>
      <w:r w:rsidR="0087550E" w:rsidRPr="00B05FA2">
        <w:rPr>
          <w:rFonts w:ascii="Times New Roman" w:hAnsi="Times New Roman"/>
          <w:sz w:val="28"/>
          <w:szCs w:val="28"/>
        </w:rPr>
        <w:t>)</w:t>
      </w:r>
    </w:p>
    <w:p w:rsidR="00262BBD" w:rsidRDefault="00262BBD">
      <w:pPr>
        <w:spacing w:after="0" w:line="240" w:lineRule="auto"/>
        <w:ind w:left="-51"/>
        <w:jc w:val="center"/>
        <w:rPr>
          <w:rFonts w:ascii="Times New Roman" w:eastAsia="Times New Roman" w:hAnsi="Times New Roman"/>
          <w:sz w:val="28"/>
          <w:szCs w:val="28"/>
          <w:lang w:eastAsia="ru-RU"/>
        </w:rPr>
      </w:pPr>
    </w:p>
    <w:p w:rsidR="00262BBD" w:rsidRDefault="00262BBD">
      <w:pPr>
        <w:spacing w:after="0" w:line="240" w:lineRule="auto"/>
        <w:rPr>
          <w:rFonts w:ascii="Times New Roman" w:eastAsia="Times New Roman" w:hAnsi="Times New Roman"/>
          <w:sz w:val="28"/>
          <w:szCs w:val="28"/>
          <w:lang w:eastAsia="ru-RU"/>
        </w:rPr>
      </w:pPr>
    </w:p>
    <w:p w:rsidR="002A3072" w:rsidRDefault="002A3072">
      <w:pPr>
        <w:spacing w:after="0" w:line="240" w:lineRule="auto"/>
        <w:rPr>
          <w:rFonts w:ascii="Times New Roman" w:eastAsia="Times New Roman" w:hAnsi="Times New Roman"/>
          <w:sz w:val="28"/>
          <w:szCs w:val="28"/>
          <w:lang w:eastAsia="ru-RU"/>
        </w:rPr>
      </w:pPr>
    </w:p>
    <w:p w:rsidR="00262BBD" w:rsidRDefault="0087550E">
      <w:pPr>
        <w:spacing w:after="0" w:line="240" w:lineRule="auto"/>
        <w:ind w:right="601" w:firstLine="567"/>
        <w:jc w:val="center"/>
        <w:rPr>
          <w:rFonts w:ascii="Times New Roman" w:eastAsia="Times New Roman" w:hAnsi="Times New Roman"/>
          <w:sz w:val="28"/>
          <w:szCs w:val="28"/>
          <w:lang w:eastAsia="ru-RU"/>
        </w:rPr>
      </w:pPr>
      <w:r w:rsidRPr="0087550E">
        <w:rPr>
          <w:rFonts w:ascii="Times New Roman" w:eastAsia="Times New Roman" w:hAnsi="Times New Roman"/>
          <w:sz w:val="28"/>
          <w:szCs w:val="28"/>
          <w:lang w:eastAsia="ru-RU"/>
        </w:rPr>
        <w:t>Биомаркеры эффективности аллерген-специфической иммунотерапии у больных с сезонными аллергическими заболеваниями</w:t>
      </w:r>
    </w:p>
    <w:p w:rsidR="00262BBD" w:rsidRDefault="00262BBD">
      <w:pPr>
        <w:spacing w:after="0" w:line="240" w:lineRule="auto"/>
        <w:ind w:right="601" w:firstLine="567"/>
        <w:jc w:val="center"/>
        <w:rPr>
          <w:rFonts w:ascii="Times New Roman" w:eastAsia="Times New Roman" w:hAnsi="Times New Roman"/>
          <w:sz w:val="28"/>
          <w:szCs w:val="28"/>
          <w:lang w:eastAsia="ru-RU"/>
        </w:rPr>
      </w:pPr>
    </w:p>
    <w:p w:rsidR="00262BBD" w:rsidRDefault="00262BBD">
      <w:pPr>
        <w:spacing w:after="0" w:line="240" w:lineRule="auto"/>
        <w:ind w:right="601" w:firstLine="567"/>
        <w:jc w:val="center"/>
        <w:rPr>
          <w:rFonts w:ascii="Times New Roman" w:eastAsia="Times New Roman" w:hAnsi="Times New Roman"/>
          <w:sz w:val="28"/>
          <w:szCs w:val="28"/>
          <w:lang w:eastAsia="ru-RU"/>
        </w:rPr>
      </w:pPr>
    </w:p>
    <w:p w:rsidR="00262BBD" w:rsidRDefault="00262BBD">
      <w:pPr>
        <w:spacing w:after="0" w:line="240" w:lineRule="auto"/>
        <w:ind w:right="601" w:firstLine="567"/>
        <w:jc w:val="center"/>
        <w:rPr>
          <w:rFonts w:ascii="Times New Roman" w:eastAsia="Times New Roman" w:hAnsi="Times New Roman"/>
          <w:sz w:val="28"/>
          <w:szCs w:val="28"/>
          <w:lang w:eastAsia="ru-RU"/>
        </w:rPr>
      </w:pPr>
    </w:p>
    <w:p w:rsidR="0087550E" w:rsidRPr="00B05FA2" w:rsidRDefault="0087550E" w:rsidP="0087550E">
      <w:pPr>
        <w:spacing w:after="0" w:line="360" w:lineRule="auto"/>
        <w:jc w:val="center"/>
        <w:rPr>
          <w:rFonts w:ascii="Times New Roman" w:eastAsia="Times New Roman" w:hAnsi="Times New Roman"/>
          <w:sz w:val="28"/>
          <w:szCs w:val="28"/>
          <w:lang w:eastAsia="ru-RU"/>
        </w:rPr>
      </w:pPr>
      <w:r w:rsidRPr="00B05FA2">
        <w:rPr>
          <w:rFonts w:ascii="Times New Roman" w:eastAsia="Times New Roman" w:hAnsi="Times New Roman"/>
          <w:sz w:val="28"/>
          <w:szCs w:val="28"/>
          <w:lang w:eastAsia="ru-RU"/>
        </w:rPr>
        <w:t>6</w:t>
      </w:r>
      <w:r w:rsidRPr="00B05FA2">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 xml:space="preserve">110100 </w:t>
      </w:r>
      <w:r>
        <w:rPr>
          <w:rFonts w:ascii="Times New Roman" w:eastAsia="Times New Roman" w:hAnsi="Times New Roman"/>
          <w:sz w:val="28"/>
          <w:szCs w:val="28"/>
          <w:lang w:eastAsia="ru-RU"/>
        </w:rPr>
        <w:softHyphen/>
      </w:r>
      <w:r w:rsidRPr="00DF7B8D">
        <w:rPr>
          <w:rFonts w:ascii="Times New Roman" w:eastAsia="Times New Roman" w:hAnsi="Times New Roman"/>
          <w:sz w:val="28"/>
          <w:szCs w:val="28"/>
          <w:lang w:eastAsia="ru-RU"/>
        </w:rPr>
        <w:softHyphen/>
      </w:r>
      <w:r w:rsidRPr="00DF7B8D">
        <w:rPr>
          <w:rFonts w:ascii="Times New Roman" w:eastAsia="Times New Roman" w:hAnsi="Times New Roman"/>
          <w:sz w:val="28"/>
          <w:szCs w:val="28"/>
          <w:lang w:eastAsia="ru-RU"/>
        </w:rPr>
        <w:softHyphen/>
      </w:r>
      <w:r w:rsidRPr="00DF7B8D">
        <w:rPr>
          <w:rFonts w:ascii="Times New Roman" w:eastAsia="Times New Roman" w:hAnsi="Times New Roman"/>
          <w:sz w:val="28"/>
          <w:szCs w:val="28"/>
          <w:lang w:eastAsia="ru-RU"/>
        </w:rPr>
        <w:softHyphen/>
      </w:r>
      <w:r w:rsidRPr="00DF7B8D">
        <w:rPr>
          <w:rFonts w:ascii="Times New Roman" w:eastAsia="Times New Roman" w:hAnsi="Times New Roman"/>
          <w:sz w:val="28"/>
          <w:szCs w:val="28"/>
          <w:lang w:eastAsia="ru-RU"/>
        </w:rPr>
        <w:softHyphen/>
      </w:r>
      <w:r w:rsidRPr="00DF7B8D">
        <w:rPr>
          <w:rFonts w:ascii="Times New Roman" w:eastAsia="Times New Roman" w:hAnsi="Times New Roman"/>
          <w:sz w:val="28"/>
          <w:szCs w:val="28"/>
          <w:lang w:eastAsia="ru-RU"/>
        </w:rPr>
        <w:softHyphen/>
      </w:r>
      <w:r>
        <w:rPr>
          <w:rFonts w:ascii="Times New Roman" w:eastAsia="Times New Roman" w:hAnsi="Times New Roman"/>
          <w:sz w:val="28"/>
          <w:szCs w:val="28"/>
          <w:lang w:eastAsia="ru-RU"/>
        </w:rPr>
        <w:softHyphen/>
      </w:r>
      <w:r>
        <w:rPr>
          <w:rFonts w:ascii="Times New Roman" w:eastAsia="Times New Roman" w:hAnsi="Times New Roman"/>
          <w:sz w:val="28"/>
          <w:szCs w:val="28"/>
          <w:lang w:eastAsia="ru-RU"/>
        </w:rPr>
        <w:softHyphen/>
        <w:t>- Медицина</w:t>
      </w:r>
    </w:p>
    <w:p w:rsidR="00262BBD" w:rsidRDefault="00262BBD">
      <w:pPr>
        <w:spacing w:after="0" w:line="240" w:lineRule="auto"/>
        <w:ind w:left="741" w:right="601"/>
        <w:jc w:val="center"/>
        <w:rPr>
          <w:rFonts w:ascii="Times New Roman" w:eastAsia="Times New Roman" w:hAnsi="Times New Roman"/>
          <w:sz w:val="28"/>
          <w:szCs w:val="28"/>
          <w:lang w:eastAsia="ru-RU"/>
        </w:rPr>
      </w:pPr>
    </w:p>
    <w:p w:rsidR="00262BBD" w:rsidRDefault="00262BBD">
      <w:pPr>
        <w:spacing w:after="0" w:line="240" w:lineRule="auto"/>
        <w:ind w:left="741" w:right="601"/>
        <w:jc w:val="center"/>
        <w:rPr>
          <w:rFonts w:ascii="Times New Roman" w:eastAsia="Times New Roman" w:hAnsi="Times New Roman"/>
          <w:sz w:val="28"/>
          <w:szCs w:val="28"/>
          <w:lang w:eastAsia="ru-RU"/>
        </w:rPr>
      </w:pPr>
    </w:p>
    <w:p w:rsidR="00E62ECC" w:rsidRDefault="00E62ECC">
      <w:pPr>
        <w:spacing w:after="0" w:line="240" w:lineRule="auto"/>
        <w:rPr>
          <w:rFonts w:ascii="Times New Roman" w:eastAsia="Times New Roman" w:hAnsi="Times New Roman"/>
          <w:sz w:val="28"/>
          <w:szCs w:val="28"/>
          <w:lang w:eastAsia="ru-RU"/>
        </w:rPr>
      </w:pPr>
    </w:p>
    <w:p w:rsidR="00E62ECC" w:rsidRDefault="00E62ECC">
      <w:pPr>
        <w:spacing w:after="0" w:line="240" w:lineRule="auto"/>
        <w:rPr>
          <w:rFonts w:ascii="Times New Roman" w:eastAsia="Times New Roman" w:hAnsi="Times New Roman"/>
          <w:sz w:val="28"/>
          <w:szCs w:val="28"/>
          <w:lang w:eastAsia="ru-RU"/>
        </w:rPr>
      </w:pPr>
    </w:p>
    <w:p w:rsidR="00262BBD" w:rsidRDefault="00002324" w:rsidP="0087550E">
      <w:pPr>
        <w:tabs>
          <w:tab w:val="left" w:pos="6521"/>
          <w:tab w:val="left" w:pos="666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докторант </w:t>
      </w:r>
      <w:r>
        <w:rPr>
          <w:rFonts w:ascii="Times New Roman" w:eastAsia="Times New Roman" w:hAnsi="Times New Roman"/>
          <w:sz w:val="28"/>
          <w:szCs w:val="28"/>
          <w:lang w:val="en-US" w:eastAsia="ru-RU"/>
        </w:rPr>
        <w:t>Ph</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 xml:space="preserve">.  </w:t>
      </w:r>
      <w:r w:rsidR="0087550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Измайлович М.Р. </w:t>
      </w:r>
    </w:p>
    <w:p w:rsidR="00262BBD" w:rsidRDefault="00262BBD">
      <w:pPr>
        <w:tabs>
          <w:tab w:val="left" w:pos="0"/>
        </w:tabs>
        <w:spacing w:after="0" w:line="240" w:lineRule="auto"/>
        <w:ind w:right="601"/>
        <w:rPr>
          <w:rFonts w:ascii="Times New Roman" w:eastAsia="Times New Roman" w:hAnsi="Times New Roman"/>
          <w:sz w:val="28"/>
          <w:szCs w:val="28"/>
          <w:lang w:eastAsia="ru-RU"/>
        </w:rPr>
      </w:pPr>
    </w:p>
    <w:p w:rsidR="0087550E" w:rsidRPr="00B05FA2" w:rsidRDefault="0087550E" w:rsidP="0087550E">
      <w:pPr>
        <w:spacing w:after="0" w:line="240" w:lineRule="auto"/>
        <w:rPr>
          <w:rFonts w:ascii="Times New Roman" w:hAnsi="Times New Roman"/>
          <w:sz w:val="28"/>
          <w:szCs w:val="28"/>
        </w:rPr>
      </w:pPr>
      <w:r w:rsidRPr="00B05FA2">
        <w:rPr>
          <w:rFonts w:ascii="Times New Roman" w:hAnsi="Times New Roman"/>
          <w:sz w:val="28"/>
          <w:szCs w:val="28"/>
        </w:rPr>
        <w:t xml:space="preserve">Научные консультанты: </w:t>
      </w:r>
    </w:p>
    <w:p w:rsidR="00262BBD" w:rsidRDefault="00E62ECC" w:rsidP="00E62EC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д.м.н., профессор           </w:t>
      </w:r>
      <w:r w:rsidR="00002324">
        <w:rPr>
          <w:rFonts w:ascii="Times New Roman" w:eastAsia="Times New Roman" w:hAnsi="Times New Roman"/>
          <w:sz w:val="28"/>
          <w:szCs w:val="28"/>
          <w:lang w:eastAsia="ru-RU"/>
        </w:rPr>
        <w:t xml:space="preserve">            </w:t>
      </w:r>
      <w:r w:rsidR="0087550E">
        <w:rPr>
          <w:rFonts w:ascii="Times New Roman" w:eastAsia="Times New Roman" w:hAnsi="Times New Roman"/>
          <w:sz w:val="28"/>
          <w:szCs w:val="28"/>
          <w:lang w:eastAsia="ru-RU"/>
        </w:rPr>
        <w:t xml:space="preserve">                                         </w:t>
      </w:r>
      <w:r w:rsidR="00002324">
        <w:rPr>
          <w:rFonts w:ascii="Times New Roman" w:eastAsia="Times New Roman" w:hAnsi="Times New Roman"/>
          <w:sz w:val="28"/>
          <w:szCs w:val="28"/>
          <w:lang w:eastAsia="ru-RU"/>
        </w:rPr>
        <w:t>Газалиева М.А.</w:t>
      </w:r>
    </w:p>
    <w:p w:rsidR="00262BBD" w:rsidRDefault="00262BBD">
      <w:pPr>
        <w:tabs>
          <w:tab w:val="left" w:pos="0"/>
        </w:tabs>
        <w:spacing w:after="0" w:line="240" w:lineRule="auto"/>
        <w:ind w:right="21"/>
        <w:rPr>
          <w:rFonts w:ascii="Times New Roman" w:eastAsia="Times New Roman" w:hAnsi="Times New Roman"/>
          <w:sz w:val="28"/>
          <w:szCs w:val="28"/>
          <w:lang w:eastAsia="ru-RU"/>
        </w:rPr>
      </w:pPr>
    </w:p>
    <w:p w:rsidR="00262BBD" w:rsidRDefault="00AA05C3">
      <w:pPr>
        <w:spacing w:after="0" w:line="240" w:lineRule="auto"/>
        <w:ind w:right="601"/>
        <w:rPr>
          <w:rFonts w:ascii="Times New Roman" w:eastAsia="Times New Roman" w:hAnsi="Times New Roman"/>
          <w:sz w:val="28"/>
          <w:szCs w:val="28"/>
          <w:lang w:eastAsia="ru-RU"/>
        </w:rPr>
      </w:pPr>
      <w:r w:rsidRPr="006D58B3">
        <w:rPr>
          <w:rFonts w:ascii="Times New Roman" w:eastAsia="Times New Roman" w:hAnsi="Times New Roman"/>
          <w:sz w:val="28"/>
          <w:szCs w:val="28"/>
          <w:lang w:eastAsia="ru-RU"/>
        </w:rPr>
        <w:t>Ph.D.,</w:t>
      </w:r>
      <w:r w:rsidRPr="00EA4527">
        <w:t xml:space="preserve"> </w:t>
      </w:r>
      <w:r w:rsidRPr="00EA4527">
        <w:rPr>
          <w:rFonts w:ascii="Times New Roman" w:eastAsia="Times New Roman" w:hAnsi="Times New Roman"/>
          <w:sz w:val="28"/>
          <w:szCs w:val="28"/>
          <w:lang w:eastAsia="ru-RU"/>
        </w:rPr>
        <w:t xml:space="preserve">ассоциированный </w:t>
      </w:r>
      <w:r w:rsidR="005C73BA">
        <w:rPr>
          <w:rFonts w:ascii="Times New Roman" w:eastAsia="Times New Roman" w:hAnsi="Times New Roman"/>
          <w:sz w:val="28"/>
          <w:szCs w:val="28"/>
          <w:lang w:eastAsia="ru-RU"/>
        </w:rPr>
        <w:t>п</w:t>
      </w:r>
      <w:r w:rsidRPr="00EA4527">
        <w:rPr>
          <w:rFonts w:ascii="Times New Roman" w:eastAsia="Times New Roman" w:hAnsi="Times New Roman"/>
          <w:sz w:val="28"/>
          <w:szCs w:val="28"/>
          <w:lang w:eastAsia="ru-RU"/>
        </w:rPr>
        <w:t>рофессор</w:t>
      </w:r>
      <w:r w:rsidR="00002324">
        <w:rPr>
          <w:rFonts w:ascii="Times New Roman" w:eastAsia="Times New Roman" w:hAnsi="Times New Roman"/>
          <w:sz w:val="28"/>
          <w:szCs w:val="28"/>
          <w:lang w:eastAsia="ru-RU"/>
        </w:rPr>
        <w:t xml:space="preserve">   </w:t>
      </w:r>
      <w:r w:rsidR="005C73BA">
        <w:rPr>
          <w:rFonts w:ascii="Times New Roman" w:eastAsia="Times New Roman" w:hAnsi="Times New Roman"/>
          <w:sz w:val="28"/>
          <w:szCs w:val="28"/>
          <w:lang w:eastAsia="ru-RU"/>
        </w:rPr>
        <w:t xml:space="preserve">             </w:t>
      </w:r>
      <w:r w:rsidR="0087550E">
        <w:rPr>
          <w:rFonts w:ascii="Times New Roman" w:eastAsia="Times New Roman" w:hAnsi="Times New Roman"/>
          <w:sz w:val="28"/>
          <w:szCs w:val="28"/>
          <w:lang w:eastAsia="ru-RU"/>
        </w:rPr>
        <w:t xml:space="preserve"> </w:t>
      </w:r>
      <w:r w:rsidR="005C73BA">
        <w:rPr>
          <w:rFonts w:ascii="Times New Roman" w:eastAsia="Times New Roman" w:hAnsi="Times New Roman"/>
          <w:sz w:val="28"/>
          <w:szCs w:val="28"/>
          <w:lang w:eastAsia="ru-RU"/>
        </w:rPr>
        <w:t xml:space="preserve">                 </w:t>
      </w:r>
      <w:r w:rsidR="00002324">
        <w:rPr>
          <w:rFonts w:ascii="Times New Roman" w:eastAsia="Times New Roman" w:hAnsi="Times New Roman"/>
          <w:sz w:val="28"/>
          <w:szCs w:val="28"/>
          <w:lang w:eastAsia="ru-RU"/>
        </w:rPr>
        <w:t>Глушкова Н.Е.</w:t>
      </w:r>
    </w:p>
    <w:p w:rsidR="00262BBD" w:rsidRDefault="00262BBD">
      <w:pPr>
        <w:spacing w:after="0" w:line="240" w:lineRule="auto"/>
        <w:ind w:right="601"/>
        <w:rPr>
          <w:rFonts w:ascii="Times New Roman" w:eastAsia="Times New Roman" w:hAnsi="Times New Roman"/>
          <w:sz w:val="28"/>
          <w:szCs w:val="28"/>
          <w:lang w:eastAsia="ru-RU"/>
        </w:rPr>
      </w:pPr>
    </w:p>
    <w:p w:rsidR="00262BBD" w:rsidRDefault="00E0680B">
      <w:pPr>
        <w:spacing w:after="0" w:line="240" w:lineRule="auto"/>
        <w:ind w:right="601"/>
        <w:rPr>
          <w:rFonts w:ascii="Times New Roman" w:eastAsia="Times New Roman" w:hAnsi="Times New Roman"/>
          <w:sz w:val="28"/>
          <w:szCs w:val="28"/>
          <w:lang w:eastAsia="ru-RU"/>
        </w:rPr>
      </w:pPr>
      <w:r w:rsidRPr="006D58B3">
        <w:rPr>
          <w:rFonts w:ascii="Times New Roman" w:eastAsia="Times New Roman" w:hAnsi="Times New Roman"/>
          <w:sz w:val="28"/>
          <w:szCs w:val="28"/>
          <w:lang w:eastAsia="ru-RU"/>
        </w:rPr>
        <w:t>Ph.D.</w:t>
      </w:r>
      <w:r w:rsidR="00002324">
        <w:rPr>
          <w:rFonts w:ascii="Times New Roman" w:eastAsia="Times New Roman" w:hAnsi="Times New Roman"/>
          <w:sz w:val="28"/>
          <w:szCs w:val="28"/>
          <w:lang w:eastAsia="ru-RU"/>
        </w:rPr>
        <w:t>, профессор</w:t>
      </w:r>
      <w:r w:rsidR="005E4B4E">
        <w:rPr>
          <w:rFonts w:ascii="Times New Roman" w:eastAsia="Times New Roman" w:hAnsi="Times New Roman"/>
          <w:sz w:val="28"/>
          <w:szCs w:val="28"/>
          <w:lang w:eastAsia="ru-RU"/>
        </w:rPr>
        <w:t xml:space="preserve">                                                      </w:t>
      </w:r>
      <w:r w:rsidR="00002324">
        <w:rPr>
          <w:rFonts w:ascii="Times New Roman" w:eastAsia="Times New Roman" w:hAnsi="Times New Roman"/>
          <w:sz w:val="28"/>
          <w:szCs w:val="28"/>
          <w:lang w:eastAsia="ru-RU"/>
        </w:rPr>
        <w:t xml:space="preserve">           Ахвледиани Л.Т.</w:t>
      </w:r>
    </w:p>
    <w:p w:rsidR="00262BBD" w:rsidRDefault="00262BBD">
      <w:pPr>
        <w:spacing w:after="0" w:line="240" w:lineRule="auto"/>
        <w:ind w:right="601"/>
        <w:rPr>
          <w:rFonts w:ascii="Times New Roman" w:eastAsia="Times New Roman" w:hAnsi="Times New Roman"/>
          <w:sz w:val="28"/>
          <w:szCs w:val="28"/>
          <w:lang w:eastAsia="ru-RU"/>
        </w:rPr>
      </w:pPr>
    </w:p>
    <w:p w:rsidR="00262BBD" w:rsidRDefault="00262BBD">
      <w:pPr>
        <w:spacing w:after="0" w:line="240" w:lineRule="auto"/>
        <w:ind w:right="601"/>
        <w:rPr>
          <w:rFonts w:ascii="Times New Roman" w:eastAsia="Times New Roman" w:hAnsi="Times New Roman"/>
          <w:sz w:val="28"/>
          <w:szCs w:val="28"/>
          <w:lang w:eastAsia="ru-RU"/>
        </w:rPr>
      </w:pPr>
    </w:p>
    <w:p w:rsidR="00262BBD" w:rsidRDefault="00262BBD">
      <w:pPr>
        <w:spacing w:after="0" w:line="240" w:lineRule="auto"/>
        <w:ind w:right="601"/>
        <w:rPr>
          <w:rFonts w:ascii="Times New Roman" w:eastAsia="Times New Roman" w:hAnsi="Times New Roman"/>
          <w:sz w:val="28"/>
          <w:szCs w:val="28"/>
          <w:lang w:eastAsia="ru-RU"/>
        </w:rPr>
      </w:pPr>
    </w:p>
    <w:p w:rsidR="00262BBD" w:rsidRDefault="00002324">
      <w:pPr>
        <w:spacing w:after="0" w:line="240" w:lineRule="auto"/>
        <w:ind w:right="601"/>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p>
    <w:p w:rsidR="00E62ECC" w:rsidRDefault="00E62ECC">
      <w:pPr>
        <w:spacing w:after="0" w:line="240" w:lineRule="auto"/>
        <w:jc w:val="center"/>
        <w:rPr>
          <w:rFonts w:ascii="Times New Roman" w:eastAsia="Times New Roman" w:hAnsi="Times New Roman"/>
          <w:color w:val="000000"/>
          <w:sz w:val="28"/>
          <w:szCs w:val="28"/>
          <w:lang w:eastAsia="ru-RU"/>
        </w:rPr>
      </w:pPr>
    </w:p>
    <w:p w:rsidR="00E62ECC" w:rsidRDefault="00E62ECC">
      <w:pPr>
        <w:spacing w:after="0" w:line="240" w:lineRule="auto"/>
        <w:jc w:val="center"/>
        <w:rPr>
          <w:rFonts w:ascii="Times New Roman" w:eastAsia="Times New Roman" w:hAnsi="Times New Roman"/>
          <w:color w:val="000000"/>
          <w:sz w:val="28"/>
          <w:szCs w:val="28"/>
          <w:lang w:eastAsia="ru-RU"/>
        </w:rPr>
      </w:pPr>
    </w:p>
    <w:p w:rsidR="002A3072" w:rsidRDefault="002A3072">
      <w:pPr>
        <w:spacing w:after="0" w:line="240" w:lineRule="auto"/>
        <w:jc w:val="center"/>
        <w:rPr>
          <w:rFonts w:ascii="Times New Roman" w:eastAsia="Times New Roman" w:hAnsi="Times New Roman"/>
          <w:color w:val="000000"/>
          <w:sz w:val="28"/>
          <w:szCs w:val="28"/>
          <w:lang w:eastAsia="ru-RU"/>
        </w:rPr>
      </w:pPr>
    </w:p>
    <w:p w:rsidR="002A3072" w:rsidRDefault="002A3072">
      <w:pPr>
        <w:spacing w:after="0" w:line="240" w:lineRule="auto"/>
        <w:jc w:val="center"/>
        <w:rPr>
          <w:rFonts w:ascii="Times New Roman" w:eastAsia="Times New Roman" w:hAnsi="Times New Roman"/>
          <w:color w:val="000000"/>
          <w:sz w:val="28"/>
          <w:szCs w:val="28"/>
          <w:lang w:eastAsia="ru-RU"/>
        </w:rPr>
      </w:pPr>
    </w:p>
    <w:p w:rsidR="002A3072" w:rsidRDefault="002A3072">
      <w:pPr>
        <w:spacing w:after="0" w:line="240" w:lineRule="auto"/>
        <w:jc w:val="center"/>
        <w:rPr>
          <w:rFonts w:ascii="Times New Roman" w:eastAsia="Times New Roman" w:hAnsi="Times New Roman"/>
          <w:color w:val="000000"/>
          <w:sz w:val="28"/>
          <w:szCs w:val="28"/>
          <w:lang w:eastAsia="ru-RU"/>
        </w:rPr>
      </w:pPr>
    </w:p>
    <w:p w:rsidR="00262BBD" w:rsidRDefault="0000232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Караганда, 202</w:t>
      </w:r>
      <w:r w:rsidR="002A3072">
        <w:rPr>
          <w:rFonts w:ascii="Times New Roman" w:eastAsia="Times New Roman" w:hAnsi="Times New Roman"/>
          <w:color w:val="000000"/>
          <w:sz w:val="28"/>
          <w:szCs w:val="28"/>
          <w:lang w:eastAsia="ru-RU"/>
        </w:rPr>
        <w:t>4</w:t>
      </w:r>
    </w:p>
    <w:p w:rsidR="00262BBD" w:rsidRDefault="00002324">
      <w:r>
        <w:br w:type="page"/>
      </w:r>
    </w:p>
    <w:p w:rsidR="00E4425F" w:rsidRPr="00B05FA2" w:rsidRDefault="00E4425F" w:rsidP="00E4425F">
      <w:pPr>
        <w:pStyle w:val="a4"/>
        <w:tabs>
          <w:tab w:val="left" w:pos="284"/>
          <w:tab w:val="left" w:pos="709"/>
          <w:tab w:val="left" w:pos="851"/>
        </w:tabs>
        <w:spacing w:after="0" w:line="240" w:lineRule="auto"/>
        <w:ind w:left="0" w:firstLine="567"/>
        <w:jc w:val="both"/>
        <w:rPr>
          <w:rFonts w:ascii="Times New Roman" w:hAnsi="Times New Roman" w:cs="Times New Roman"/>
          <w:b/>
          <w:sz w:val="28"/>
          <w:szCs w:val="28"/>
        </w:rPr>
      </w:pPr>
      <w:bookmarkStart w:id="0" w:name="_Ref54548278"/>
      <w:r w:rsidRPr="00B05FA2">
        <w:rPr>
          <w:rFonts w:ascii="Times New Roman" w:hAnsi="Times New Roman" w:cs="Times New Roman"/>
          <w:b/>
          <w:sz w:val="28"/>
          <w:szCs w:val="28"/>
        </w:rPr>
        <w:lastRenderedPageBreak/>
        <w:t xml:space="preserve">Актуальность </w:t>
      </w:r>
      <w:r w:rsidRPr="00B05FA2">
        <w:rPr>
          <w:rFonts w:ascii="Times New Roman" w:eastAsia="Times New Roman" w:hAnsi="Times New Roman"/>
          <w:b/>
          <w:bCs/>
          <w:sz w:val="28"/>
          <w:szCs w:val="28"/>
          <w:lang w:eastAsia="ru-RU"/>
        </w:rPr>
        <w:t>темы исследования</w:t>
      </w:r>
    </w:p>
    <w:p w:rsidR="00E4425F" w:rsidRPr="00B05FA2" w:rsidRDefault="00E4425F" w:rsidP="00E4425F">
      <w:pPr>
        <w:tabs>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 xml:space="preserve">На сегодняшний день сезонные аллергические заболевания являются глобальной медико-социальной проблемой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{"citationItems":[{"id":"ITEM-1","itemData":{"DOI":"10.1016/j.jaip.2014.02.001","ISSN":"22132198","PMID":"24811026","abstract":"Background: Patients with moderate-to-severe allergic rhinitis who are inadequately controlled despite treatment according to current rhinitis management guidelines have a significant unmet medical need. Such patients have a negative impact on daily functioning and are at risk of developing serious comorbidities, such as asthma and chronic rhinosinusitis. Objective: To assess the efficacy and safety of omalizumab in poorly controlled allergic rhinitis under a meta-analysis framework. Methods: MEDLINE and the Cochrane Central Register of Controlled Trials were searched through September 2013. Studies on the efficacy of omalizumab in allergic rhinitis that assessed clinical outcomes were selected. Descriptive and quantitative information was extracted; mean differences and relative risk estimates were synthesized under a fixed or random effects model. Heterogeneity was assessed by using the Q statistic and the I2 metric. Subgroup analyses were performed for the presence of specific immunotherapy treatment. Results: Of the 352 citations retrieved, 11 studies of 2870 patients were finally included. A statistically significant reduction in the daily nasal symptom severity score (standardized mean difference -0.67 [95% CI, -1.3 to -0.31]; P &lt; .0001; I2, 92%) and a statistically significant reduction in daily nasal rescue medication score (-0.22 [95% CI, -0.39 to -0.05; P = .01; I2, 58%) were observed. There was not a statistically significant difference in the occurrence of any adverse event (relative risk 1.06 [95% CI, 0.94-1.19; I2, 55%). Conclusions: Omalizumab is statistically significantly associated with symptom relief, decreased rescue medication use, and improvement of quality of life in patients with inadequately controlled allergic rhinosinusitis. © 2014 American Academy of Allergy, Asthma &amp; Immunology.","author":[{"dropping-particle":"","family":"Tsabouri","given":"Sophia","non-dropping-particle":"","parse-names":false,"suffix":""},{"dropping-particle":"","family":"Tseretopoulou","given":"Xanthippi","non-dropping-particle":"","parse-names":false,"suffix":""},{"dropping-particle":"","family":"Priftis","given":"Konstantinos","non-dropping-particle":"","parse-names":false,"suffix":""},{"dropping-particle":"","family":"Ntzani","given":"Evangelia E.","non-dropping-particle":"","parse-names":false,"suffix":""}],"container-title":"Journal of Allergy and Clinical Immunology: In Practice","id":"ITEM-1","issue":"3","issued":{"date-parts":[["2014"]]},"page":"332-340","publisher":"Elsevier Inc","title":"Omalizumab for the Treatment of Inadequately Controlled Allergic Rhinitis: A Systematic Review and Meta-Analysis of Randomized Clinical Trials","type":"article-journal","volume":"2"},"uris":["http://www.mendeley.com/documents/?uuid=1a68f79a-bd48-4db2-8376-810be1662914"]}],"mendeley":{"formattedCitation":"[1]","plainTextFormattedCitation":"[1]","previouslyFormattedCitation":"[1]"},"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w:t>
      </w:r>
      <w:r w:rsidRPr="00B05FA2">
        <w:rPr>
          <w:rStyle w:val="fontstyle01"/>
        </w:rPr>
        <w:t xml:space="preserve">Согласно статистическим данным Всемирной Организации Здравоохранения, аллергией страдают от </w:t>
      </w:r>
      <w:r w:rsidR="00417A90">
        <w:rPr>
          <w:rStyle w:val="fontstyle01"/>
        </w:rPr>
        <w:t>2</w:t>
      </w:r>
      <w:r w:rsidRPr="00B05FA2">
        <w:rPr>
          <w:rStyle w:val="fontstyle01"/>
        </w:rPr>
        <w:t xml:space="preserve">0% до 40% населения нашей планеты </w:t>
      </w:r>
      <w:r w:rsidRPr="00B05FA2">
        <w:rPr>
          <w:rStyle w:val="fontstyle01"/>
        </w:rPr>
        <w:fldChar w:fldCharType="begin" w:fldLock="1"/>
      </w:r>
      <w:r w:rsidRPr="00B05FA2">
        <w:rPr>
          <w:rStyle w:val="fontstyle01"/>
        </w:rPr>
        <w:instrText>ADDIN CSL_CITATION {"citationItems":[{"id":"ITEM-1","itemData":{"DOI":"10.1186/2045-7022-2-20","ISSN":"20457022","abstract":"Allergy today is a public health concern of pandemic proportions, affecting more than 150 million people in Europe alone. In view of epidemiological trends, the European Academy of Allergy and Clinical Immunology (EAACI) predicts that within the next few decades, more than half of the European population may at some point in their lives experience some type of allergy. Not only do allergic patients suffer from a debilitating disease, with the potential for major impact on their quality of life, career progression, personal development and lifestyle choices, but they also constitute a significant burden on health economics and macroeconomics due to the days of lost productivity and underperformance. Given that allergy triggers, including urbanization, industrialization, pollution and climate change, are not expected to change in the foreseeable future, it is imperative that steps are taken to develop, strengthen and optimize preventive and treatment strategies. Allergen specific immunotherapy is the only currently available medical intervention that has the potential to affect the natural course of the disease. Years of basic science research, clinical trials, and systematic reviews and meta-analyses have convincingly shown that allergen specific immunotherapy can achieve substantial results for patients, improving the allergic individuals' quality of life, reducing the long-term costs and burden of allergies, and changing the course of the disease. Allergen specific immunotherapy not only effectively alleviates allergy symptoms, but it has a long-term effect after conclusion of the treatment and can prevent the progression of allergic diseases. Unfortunately, allergen specific immunotherapy has not yet received adequate attention from European institutions, including research funding bodies, even though this could be a most rewarding field in terms of return on investments, translational value and European integration and, a field in which Europe is recognized as a worldwide leader. Evaluation and surveillance of the full cost of allergic diseases is still lacking and further progress is being stifled by the variety of health systems across Europe. This means that the general population remains unaware of the potential use of allergen specific immunotherapy and its potential benefits. We call upon Europe's policy-makers to coordinate actions and improve individual and public health in allergy by: Promoting awareness of the effectiveness of allergen spec…","author":[{"dropping-particle":"","family":"Calderon","given":"Moises A.","non-dropping-particle":"","parse-names":false,"suffix":""},{"dropping-particle":"","family":"Demoly","given":"Pascal","non-dropping-particle":"","parse-names":false,"suffix":""},{"dropping-particle":"","family":"Gerth Van Wijk","given":"Roy","non-dropping-particle":"","parse-names":false,"suffix":""},{"dropping-particle":"","family":"Bousquet","given":"Jean","non-dropping-particle":"","parse-names":false,"suffix":""},{"dropping-particle":"","family":"Sheikh","given":"Aziz","non-dropping-particle":"","parse-names":false,"suffix":""},{"dropping-particle":"","family":"Frew","given":"Anthony","non-dropping-particle":"","parse-names":false,"suffix":""},{"dropping-particle":"","family":"Scadding","given":"Glenis","non-dropping-particle":"","parse-names":false,"suffix":""},{"dropping-particle":"","family":"Bachert","given":"Claus","non-dropping-particle":"","parse-names":false,"suffix":""},{"dropping-particle":"","family":"Malling","given":"Hans J.","non-dropping-particle":"","parse-names":false,"suffix":""},{"dropping-particle":"","family":"Valenta","given":"Rudolph","non-dropping-particle":"","parse-names":false,"suffix":""},{"dropping-particle":"","family":"Bilo","given":"Beatrice","non-dropping-particle":"","parse-names":false,"suffix":""},{"dropping-particle":"","family":"Nieto","given":"Antonio","non-dropping-particle":"","parse-names":false,"suffix":""},{"dropping-particle":"","family":"Akdis","given":"Cezmi","non-dropping-particle":"","parse-names":false,"suffix":""},{"dropping-particle":"","family":"Just","given":"Jocelyne","non-dropping-particle":"","parse-names":false,"suffix":""},{"dropping-particle":"","family":"Vidal","given":"Carmen","non-dropping-particle":"","parse-names":false,"suffix":""},{"dropping-particle":"","family":"Varga","given":"Eva M.","non-dropping-particle":"","parse-names":false,"suffix":""},{"dropping-particle":"","family":"Alvarez-Cuesta","given":"Emilio","non-dropping-particle":"","parse-names":false,"suffix":""},{"dropping-particle":"","family":"Bohle","given":"Barbara","non-dropping-particle":"","parse-names":false,"suffix":""},{"dropping-particle":"","family":"Bufe","given":"Albrecht","non-dropping-particle":"","parse-names":false,"suffix":""},{"dropping-particle":"","family":"Canonica","given":"Walter G.","non-dropping-particle":"","parse-names":false,"suffix":""},{"dropping-particle":"","family":"Cardona","given":"Victoria","non-dropping-particle":"","parse-names":false,"suffix":""},{"dropping-particle":"","family":"Dahl","given":"Ronald","non-dropping-particle":"","parse-names":false,"suffix":""},{"dropping-particle":"","family":"Didier","given":"Alain","non-dropping-particle":"","parse-names":false,"suffix":""},{"dropping-particle":"","family":"Durham","given":"Stephen R.","non-dropping-particle":"","parse-names":false,"suffix":""},{"dropping-particle":"","family":"Eng","given":"Peter","non-dropping-particle":"","parse-names":false,"suffix":""},{"dropping-particle":"","family":"Fernandez-Rivas","given":"Montserrat","non-dropping-particle":"","parse-names":false,"suffix":""},{"dropping-particle":"","family":"Jacobsen","given":"Lars","non-dropping-particle":"","parse-names":false,"suffix":""},{"dropping-particle":"","family":"Jutel","given":"Marek","non-dropping-particle":"","parse-names":false,"suffix":""},{"dropping-particle":"","family":"Kleine-Tebbe","given":"Jörg","non-dropping-particle":"","parse-names":false,"suffix":""},{"dropping-particle":"","family":"Klimek","given":"Ludger","non-dropping-particle":"","parse-names":false,"suffix":""},{"dropping-particle":"","family":"Lötvall","given":"Jan","non-dropping-particle":"","parse-names":false,"suffix":""},{"dropping-particle":"","family":"Moreno","given":"Carmen","non-dropping-particle":"","parse-names":false,"suffix":""},{"dropping-particle":"","family":"Mosges","given":"Ralph","non-dropping-particle":"","parse-names":false,"suffix":""},{"dropping-particle":"","family":"Muraro","given":"Antonella","non-dropping-particle":"","parse-names":false,"suffix":""},{"dropping-particle":"","family":"Niggemann","given":"Bodo","non-dropping-particle":"","parse-names":false,"suffix":""},{"dropping-particle":"","family":"Pajno","given":"Giovanni","non-dropping-particle":"","parse-names":false,"suffix":""},{"dropping-particle":"","family":"Passalacqua","given":"Giovanni","non-dropping-particle":"","parse-names":false,"suffix":""},{"dropping-particle":"","family":"Pfaar","given":"Oliver","non-dropping-particle":"","parse-names":false,"suffix":""},{"dropping-particle":"","family":"Rak","given":"Sabina","non-dropping-particle":"","parse-names":false,"suffix":""},{"dropping-particle":"","family":"Senna","given":"Gianenrico","non-dropping-particle":"","parse-names":false,"suffix":""},{"dropping-particle":"","family":"Senti","given":"Gabriela","non-dropping-particle":"","parse-names":false,"suffix":""},{"dropping-particle":"","family":"Valovirta","given":"Erkka","non-dropping-particle":"","parse-names":false,"suffix":""},{"dropping-particle":"","family":"Hage","given":"Marianne","non-dropping-particle":"Van","parse-names":false,"suffix":""},{"dropping-particle":"","family":"Virchow","given":"Johannes C.","non-dropping-particle":"","parse-names":false,"suffix":""},{"dropping-particle":"","family":"Wahn","given":"Ulrich","non-dropping-particle":"","parse-names":false,"suffix":""},{"dropping-particle":"","family":"Papadopoulos","given":"Nikolaos","non-dropping-particle":"","parse-names":false,"suffix":""}],"container-title":"Clinical and Translational Allergy","id":"ITEM-1","issue":"1","issued":{"date-parts":[["2012"]]},"page":"20","title":"EAACI: A European Declaration on Immunotherapy. Designing the future of allergen specific immunotherapy","type":"article-journal","volume":"2"},"uris":["http://www.mendeley.com/documents/?uuid=8a25ba78-c889-46a5-a9af-d4389f24737c"]},{"id":"ITEM-2","itemData":{"DOI":"10.1007/s11882-018-0781-y","ISSN":"15346315","PMID":"29574527","abstract":"Purpose of Review: To evaluate the impact of allergic rhinitis (AR) on the development of asthma and to update readers on recent literature suggesting that early treatment of allergic subjects with immunotherapy may prevent asthma onset. Recent Findings: AR is frequently associated with asthma, leading to the concept that these two conditions are different aspects of the same disease. There is increasing evidence that AR precedes the onset of asthmatic symptoms and current treatment strategies are beneficial in symptom control with no impact prevention. There is limited knowledge about the risk factors responsible for the progression of AR to asthma, though recent data supports the notion that it is possible to prevent asthma onset by allergen immunotherapy. Summary: Despite significant advances in specific immunotherapy (SIT) therapy strengthening its efficacy in AR and possible prevention of progression to asthma, the adoption of this therapeutic strategy is still restricted in comparison to therapies directed towards treatment of AR symptoms. Unlike corticosteroids and other symptomatic therapies, the benefit of SIT treatment in allergic individuals has been shown to prevent the development of allergic conditions. Hence, large well-conducted randomized clinical trials with long-term efficacy of SIT are required to confirm or refute the concept that SIT may abrogate the progression of AR to asthma in patients.","author":[{"dropping-particle":"","family":"Morjaria","given":"Jaymin B.","non-dropping-particle":"","parse-names":false,"suffix":""},{"dropping-particle":"","family":"Caruso","given":"Massimo","non-dropping-particle":"","parse-names":false,"suffix":""},{"dropping-particle":"","family":"Emma","given":"Rosalia","non-dropping-particle":"","parse-names":false,"suffix":""},{"dropping-particle":"","family":"Russo","given":"Cristina","non-dropping-particle":"","parse-names":false,"suffix":""},{"dropping-particle":"","family":"Polosa","given":"Riccardo","non-dropping-particle":"","parse-names":false,"suffix":""}],"container-title":"Current Allergy and Asthma Reports","id":"ITEM-2","issue":"4","issued":{"date-parts":[["2018"]]},"page":"23","publisher":"Current Allergy and Asthma Reports","title":"Treatment of Allergic Rhinitis as a Strategy for Preventing Asthma","type":"article-journal","volume":"18"},"uris":["http://www.mendeley.com/documents/?uuid=41612316-94f4-4973-8db5-f7a00251d891"]}],"mendeley":{"formattedCitation":"[2,3]","plainTextFormattedCitation":"[2,3]","previouslyFormattedCitation":"[2,3]"},"properties":{"noteIndex":0},"schema":"https://github.com/citation-style-language/schema/raw/master/csl-citation.json"}</w:instrText>
      </w:r>
      <w:r w:rsidRPr="00B05FA2">
        <w:rPr>
          <w:rStyle w:val="fontstyle01"/>
        </w:rPr>
        <w:fldChar w:fldCharType="separate"/>
      </w:r>
      <w:r w:rsidRPr="00B05FA2">
        <w:rPr>
          <w:rStyle w:val="fontstyle01"/>
          <w:noProof/>
        </w:rPr>
        <w:t>[2,3]</w:t>
      </w:r>
      <w:r w:rsidRPr="00B05FA2">
        <w:rPr>
          <w:rStyle w:val="fontstyle01"/>
        </w:rPr>
        <w:fldChar w:fldCharType="end"/>
      </w:r>
      <w:r w:rsidRPr="00B05FA2">
        <w:rPr>
          <w:rStyle w:val="fontstyle01"/>
        </w:rPr>
        <w:t>.</w:t>
      </w:r>
      <w:r w:rsidRPr="00B05FA2">
        <w:rPr>
          <w:rFonts w:ascii="Times New Roman" w:hAnsi="Times New Roman" w:cs="Times New Roman"/>
          <w:sz w:val="28"/>
          <w:szCs w:val="28"/>
        </w:rPr>
        <w:t xml:space="preserve"> Наблюдается постоянный рост заболеваемости с формированием более тяжелых форм с расширением спектра сенсибилизации к неродственным аллергенам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{"citationItems":[{"id":"ITEM-1","itemData":{"DOI":"10.1016/j.jaci.2015.12.1300","ISSN":"10976825","PMID":"26853128","abstract":"This article continues the comprehensive international consensus (ICON) statement on allergen immunotherapy (AIT). The initial article also recently appeared in the Journal. The conclusions below focus on key mechanisms of AIT-triggered tolerance, requirements in allergen standardization, AIT cost-effectiveness, and regulatory guidance. Potential barriers to and facilitators of the use of AIT are described in addition to future directions. International allergy specialists representing the European Academy of Allergy and Clinical Immunology; the American Academy of Allergy, Asthma &amp; Immunology; the American College of Allergy, Asthma and Immunology; and the World Allergy Organization critically reviewed the existing literature and prepared this summary of recommendations for best AIT practice. The authors contributed equally and reached consensus on the statements presented herein.","author":[{"dropping-particle":"","family":"Jutel","given":"Marek","non-dropping-particle":"","parse-names":false,"suffix":""},{"dropping-particle":"","family":"Agache","given":"Ioana","non-dropping-particle":"","parse-names":false,"suffix":""},{"dropping-particle":"","family":"Bonini","given":"Sergio","non-dropping-particle":"","parse-names":false,"suffix":""},{"dropping-particle":"","family":"Burks","given":"A. Wesley","non-dropping-particle":"","parse-names":false,"suffix":""},{"dropping-particle":"","family":"Calderon","given":"Moises","non-dropping-particle":"","parse-names":false,"suffix":""},{"dropping-particle":"","family":"Canonica","given":"Walter","non-dropping-particle":"","parse-names":false,"suffix":""},{"dropping-particle":"","family":"Cox","given":"Linda","non-dropping-particle":"","parse-names":false,"suffix":""},{"dropping-particle":"","family":"Demoly","given":"Pascal","non-dropping-particle":"","parse-names":false,"suffix":""},{"dropping-particle":"","family":"Frew","given":"Antony J.","non-dropping-particle":"","parse-names":false,"suffix":""},{"dropping-particle":"","family":"O'Hehir","given":"Robyn","non-dropping-particle":"","parse-names":false,"suffix":""},{"dropping-particle":"","family":"Kleine-Tebbe","given":"Jörg","non-dropping-particle":"","parse-names":false,"suffix":""},{"dropping-particle":"","family":"Muraro","given":"Antonella","non-dropping-particle":"","parse-names":false,"suffix":""},{"dropping-particle":"","family":"Lack","given":"Gideon","non-dropping-particle":"","parse-names":false,"suffix":""},{"dropping-particle":"","family":"Larenas","given":"Désirée","non-dropping-particle":"","parse-names":false,"suffix":""},{"dropping-particle":"","family":"Levin","given":"Michael","non-dropping-particle":"","parse-names":false,"suffix":""},{"dropping-particle":"","family":"Martin","given":"Bryan L.","non-dropping-particle":"","parse-names":false,"suffix":""},{"dropping-particle":"","family":"Nelson","given":"Harald","non-dropping-particle":"","parse-names":false,"suffix":""},{"dropping-particle":"","family":"Pawankar","given":"Ruby","non-dropping-particle":"","parse-names":false,"suffix":""},{"dropping-particle":"","family":"Pfaar","given":"Oliver","non-dropping-particle":"","parse-names":false,"suffix":""},{"dropping-particle":"","family":"Ree","given":"Ronald","non-dropping-particle":"Van","parse-names":false,"suffix":""},{"dropping-particle":"","family":"Sampson","given":"Hugh","non-dropping-particle":"","parse-names":false,"suffix":""},{"dropping-particle":"","family":"Sublett","given":"James L.","non-dropping-particle":"","parse-names":false,"suffix":""},{"dropping-particle":"","family":"Sugita","given":"Kazunari","non-dropping-particle":"","parse-names":false,"suffix":""},{"dropping-particle":"","family":"Toit","given":"George","non-dropping-particle":"Du","parse-names":false,"suffix":""},{"dropping-particle":"","family":"Werfel","given":"Thomas","non-dropping-particle":"","parse-names":false,"suffix":""},{"dropping-particle":"","family":"Gerth Van Wijk","given":"Roy","non-dropping-particle":"","parse-names":false,"suffix":""},{"dropping-particle":"","family":"Zhang","given":"Luo","non-dropping-particle":"","parse-names":false,"suffix":""},{"dropping-particle":"","family":"Akdis","given":"Mübeccel","non-dropping-particle":"","parse-names":false,"suffix":""},{"dropping-particle":"","family":"Akdis","given":"Cezmi A.","non-dropping-particle":"","parse-names":false,"suffix":""}],"container-title":"Journal of Allergy and Clinical Immunology","id":"ITEM-1","issue":"2","issued":{"date-parts":[["2016"]]},"page":"358-368","title":"International Consensus on Allergen Immunotherapy II: Mechanisms, standardization, and pharmacoeconomics","type":"article-journal","volume":"137"},"uris":["http://www.mendeley.com/documents/?uuid=addaa286-7c6e-44d3-95a1-949bbcdd8dc2"]},{"id":"ITEM-2","itemData":{"author":[{"dropping-particle":"","family":"Плахина","given":"К.В.","non-dropping-particle":"","parse-names":false,"suffix":""},{"dropping-particle":"","family":"Минаева","given":"Н.В.","non-dropping-particle":"","parse-names":false,"suffix":""}],"container-title":"Социальная медицина","id":"ITEM-2","issue":"4","issued":{"date-parts":[["2016"]]},"page":"82-86","title":"Организационные аспекты сублингвальной аллергенспецифической иммунотерапии","type":"article-journal","volume":"33"},"uris":["http://www.mendeley.com/documents/?uuid=b7bc8ca9-be6a-4edc-9430-4ab162f3812c"]}],"mendeley":{"formattedCitation":"[4,5]","plainTextFormattedCitation":"[4,5]","previouslyFormattedCitation":"[4,5]"},"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[4,5]</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w:t>
      </w:r>
    </w:p>
    <w:p w:rsidR="00E4425F" w:rsidRPr="00B05FA2" w:rsidRDefault="00E4425F" w:rsidP="00E4425F">
      <w:pPr>
        <w:tabs>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Среди сезонных аллергических заболеваний проблемной ситуацией является заболеваемость аллергическим ринитом</w:t>
      </w:r>
      <w:r>
        <w:rPr>
          <w:rFonts w:ascii="Times New Roman" w:hAnsi="Times New Roman" w:cs="Times New Roman"/>
          <w:sz w:val="28"/>
          <w:szCs w:val="28"/>
        </w:rPr>
        <w:t xml:space="preserve"> (АР)</w:t>
      </w:r>
      <w:r w:rsidRPr="00B05FA2">
        <w:rPr>
          <w:rFonts w:ascii="Times New Roman" w:hAnsi="Times New Roman" w:cs="Times New Roman"/>
          <w:sz w:val="28"/>
          <w:szCs w:val="28"/>
        </w:rPr>
        <w:t xml:space="preserve">. </w:t>
      </w:r>
      <w:r w:rsidRPr="00B05FA2">
        <w:rPr>
          <w:rStyle w:val="fontstyle01"/>
        </w:rPr>
        <w:t xml:space="preserve">В настоящее время более 500 миллионов человек страдают </w:t>
      </w:r>
      <w:r>
        <w:rPr>
          <w:rStyle w:val="fontstyle01"/>
        </w:rPr>
        <w:t>АР</w:t>
      </w:r>
      <w:r w:rsidRPr="00B05FA2">
        <w:rPr>
          <w:rStyle w:val="fontstyle01"/>
        </w:rPr>
        <w:t xml:space="preserve"> во всем мире </w:t>
      </w:r>
      <w:r w:rsidRPr="00B05FA2">
        <w:rPr>
          <w:rStyle w:val="fontstyle01"/>
        </w:rPr>
        <w:fldChar w:fldCharType="begin" w:fldLock="1"/>
      </w:r>
      <w:r w:rsidRPr="00B05FA2">
        <w:rPr>
          <w:rStyle w:val="fontstyle01"/>
        </w:rPr>
        <w:instrText>ADDIN CSL_CITATION {"citationItems":[{"id":"ITEM-1","itemData":{"DOI":"10.2500/ajra.2016.30.4253","ISSN":"19458932","PMID":"26867530","abstract":"Purpose: To evaluate the role of allergen immunotherapy (AIT) in the treatment of allergic rhinitis (AR). Method: Individual studies, systematic reviews, and practice guidelines that included information on sublingual AIT (SLIT) and subcutaneous AIT (SCIT) in the treatment of AR were considered. Results: AIT via the SLIT or SCIT route has been shown to be effective in treating AR symptoms with resultant improvements in overall quality of life, comorbid illnesses, and medication requirements. Persistent clinical benefits have been demonstrated years after AIT treatment discontinuation. AIT may prevent the progression of AR to asthma. In addition, studies that evaluated the pharmacoeconomics of AR treatment indicate that AIT may be more cost effective than pharmacotherapy. The AIT cost savings are likely underestimated in that few cost comparison studies considered AIT's long-term benefits or preventive effects. Conclusion: Multiple individual studies and systematic reviews provide strong evidence for the clinical effectiveness of AIT in the treatment of AR. Cost-effectiveness and disease modification are additional advantages of AIT compared with standard drug treatment in the management of AR.","author":[{"dropping-particle":"","family":"Cox","given":"Linda","non-dropping-particle":"","parse-names":false,"suffix":""}],"container-title":"American Journal of Rhinology and Allergy","id":"ITEM-1","issue":"1","issued":{"date-parts":[["2016"]]},"page":"48-53","title":"The role of allergen immunotherapy in the management of allergic rhinitis","type":"article-journal","volume":"30"},"uris":["http://www.mendeley.com/documents/?uuid=6de2fac4-2441-4dab-b086-1427db2db676"]},{"id":"ITEM-2","itemData":{"DOI":"10.1183/13993003.01046-2019","ISSN":"13993003","PMID":"31249014","author":[{"dropping-particle":"","family":"Reddel","given":"Helen K.","non-dropping-particle":"","parse-names":false,"suffix":""},{"dropping-particle":"","family":"FitzGerald","given":"J. Mark","non-dropping-particle":"","parse-names":false,"suffix":""},{"dropping-particle":"","family":"Bateman","given":"Eric D.","non-dropping-particle":"","parse-names":false,"suffix":""},{"dropping-particle":"","family":"Bacharier","given":"Leonard B.","non-dropping-particle":"","parse-names":false,"suffix":""},{"dropping-particle":"","family":"Becker","given":"Allan","non-dropping-particle":"","parse-names":false,"suffix":""},{"dropping-particle":"","family":"Brusselle","given":"Guy","non-dropping-particle":"","parse-names":false,"suffix":""},{"dropping-particle":"","family":"Buhl","given":"Roland","non-dropping-particle":"","parse-names":false,"suffix":""},{"dropping-particle":"","family":"Cruz","given":"Alvaro A.","non-dropping-particle":"","parse-names":false,"suffix":""},{"dropping-particle":"","family":"Fleming","given":"Louise","non-dropping-particle":"","parse-names":false,"suffix":""},{"dropping-particle":"","family":"Inoue","given":"Hiromasa","non-dropping-particle":"","parse-names":false,"suffix":""},{"dropping-particle":"","family":"Ko","given":"Fanny Wai San","non-dropping-particle":"","parse-names":false,"suffix":""},{"dropping-particle":"","family":"Krishnan","given":"Jerry A.","non-dropping-particle":"","parse-names":false,"suffix":""},{"dropping-particle":"","family":"Levy","given":"Mark L.","non-dropping-particle":"","parse-names":false,"suffix":""},{"dropping-particle":"","family":"Lin","given":"Jiangtao","non-dropping-particle":"","parse-names":false,"suffix":""},{"dropping-particle":"","family":"Pedersen","given":"Søren E.","non-dropping-particle":"","parse-names":false,"suffix":""},{"dropping-particle":"","family":"Sheikh","given":"Aziz","non-dropping-particle":"","parse-names":false,"suffix":""},{"dropping-particle":"","family":"Yorgancioglu","given":"Arzu","non-dropping-particle":"","parse-names":false,"suffix":""},{"dropping-particle":"","family":"Boulet","given":"Louis Philippe","non-dropping-particle":"","parse-names":false,"suffix":""}],"container-title":"The European respiratory journal","id":"ITEM-2","issue":"6","issued":{"date-parts":[["2019"]]},"page":"1-7","title":"GINA 2019: a fundamental change in asthma management: Treatment of asthma with short-acting bronchodilators alone is no longer recommended for adults and adolescents","type":"article-journal","volume":"53"},"uris":["http://www.mendeley.com/documents/?uuid=2fab4b42-4378-486d-bc79-8f00237f7fb8"]}],"mendeley":{"formattedCitation":"[6,7]","plainTextFormattedCitation":"[6,7]","previouslyFormattedCitation":"[6,7]"},"properties":{"noteIndex":0},"schema":"https://github.com/citation-style-language/schema/raw/master/csl-citation.json"}</w:instrText>
      </w:r>
      <w:r w:rsidRPr="00B05FA2">
        <w:rPr>
          <w:rStyle w:val="fontstyle01"/>
        </w:rPr>
        <w:fldChar w:fldCharType="separate"/>
      </w:r>
      <w:r w:rsidRPr="00B05FA2">
        <w:rPr>
          <w:rStyle w:val="fontstyle01"/>
          <w:noProof/>
        </w:rPr>
        <w:t>[6,7]</w:t>
      </w:r>
      <w:r w:rsidRPr="00B05FA2">
        <w:rPr>
          <w:rStyle w:val="fontstyle01"/>
        </w:rPr>
        <w:fldChar w:fldCharType="end"/>
      </w:r>
      <w:r w:rsidRPr="00B05FA2">
        <w:rPr>
          <w:rStyle w:val="fontstyle01"/>
        </w:rPr>
        <w:t xml:space="preserve">. </w:t>
      </w:r>
      <w:r w:rsidRPr="00B05FA2">
        <w:rPr>
          <w:rFonts w:ascii="Times New Roman" w:hAnsi="Times New Roman" w:cs="Times New Roman"/>
          <w:sz w:val="28"/>
          <w:szCs w:val="28"/>
        </w:rPr>
        <w:t xml:space="preserve">В Европе </w:t>
      </w:r>
      <w:r>
        <w:rPr>
          <w:rStyle w:val="fontstyle01"/>
        </w:rPr>
        <w:t>АР</w:t>
      </w:r>
      <w:r w:rsidRPr="00B05FA2">
        <w:rPr>
          <w:rFonts w:ascii="Times New Roman" w:hAnsi="Times New Roman" w:cs="Times New Roman"/>
          <w:sz w:val="28"/>
          <w:szCs w:val="28"/>
        </w:rPr>
        <w:t xml:space="preserve"> страдают 23-30% населения, в Соединенных штатах Америки 12-30% населения, в России 17-35% взрослого населения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{"citationItems":[{"id":"ITEM-1","itemData":{"DOI":"10.1111/j.1365-2222.2012.04025.x","ISSN":"09547894","PMID":"23181786","abstract":"There is comparatively little information on health-related quality of life (HRQoL) in subjects with allergic rhinitis (AR) or allergic rhinoconjunctivitis (AR/C) in countries beyond western Europe and North America. The primary aim of this investigation was therefore to review and assess the information in the public domain on HRQoL in AR/C patients from diverse regions of the world, represented by different countries, including Argentina, Australia, Brazil, Russia, Singapore, South Africa and Turkey. Second, in view of the absence of a standardized definition for 'AR control', the review aimed to determine whether a working definition of AR/C can be inferred from validated tests or other instruments documented to date. Despite the comparatively low number of studies, this review demonstrated that overall the symptoms of AR/C impair the HRQoL of patients in these regions by adversely impacting sleep, daily activities, physical and mental status and social functioning, similar to that demonstrated in much larger numbers of studies of AR/C patients in Europe and the United States. Furthermore, the findings of the review suggest that 'overall' control of the disease should encompass reduction of nasal and ocular symptoms, as well as improvements in HRQoL, comorbid conditions and cognition. Although some instruments are currently available for measuring control of AR, none are capable of assessing all these aspects, emphasizing the need to develop appropriate new instruments. © 2012 Blackwell Publishing Ltd.","author":[{"dropping-particle":"","family":"Maspero","given":"J.","non-dropping-particle":"","parse-names":false,"suffix":""},{"dropping-particle":"","family":"Lee","given":"B. W.","non-dropping-particle":"","parse-names":false,"suffix":""},{"dropping-particle":"","family":"Katelaris","given":"C. H.","non-dropping-particle":"","parse-names":false,"suffix":""},{"dropping-particle":"","family":"Potter","given":"P. C.","non-dropping-particle":"","parse-names":false,"suffix":""},{"dropping-particle":"","family":"Cingi","given":"C.","non-dropping-particle":"","parse-names":false,"suffix":""},{"dropping-particle":"","family":"Lopatin","given":"A.","non-dropping-particle":"","parse-names":false,"suffix":""},{"dropping-particle":"","family":"Saffer","given":"M.","non-dropping-particle":"","parse-names":false,"suffix":""},{"dropping-particle":"","family":"Nadeau","given":"G.","non-dropping-particle":"","parse-names":false,"suffix":""},{"dropping-particle":"","family":"Walters","given":"R. D.","non-dropping-particle":"","parse-names":false,"suffix":""}],"container-title":"Clinical and Experimental Allergy","id":"ITEM-1","issue":"12","issued":{"date-parts":[["2012"]]},"page":"1684-1696","title":"Quality of life and control of allergic rhinitis in patients from regions beyond western Europe and the United States","type":"article-journal","volume":"42"},"uris":["http://www.mendeley.com/documents/?uuid=7c4cba03-d983-4521-b1eb-6e565a3ea04a"]},{"id":"ITEM-2","itemData":{"ISBN":"9789896540821","id":"ITEM-2","issued":{"date-parts":[["0"]]},"title":"Насунова А.Ю. Эффективность различных методов аллерген-специфической иммунотерапии при бронхиальной астме и аллергическом рините: дис. ... канд. мед. наук: 14.03.09. - Москва, 2020. - 129 с.","type":"article-journal"},"uris":["http://www.mendeley.com/documents/?uuid=42666028-c38d-4afe-b56f-bc2276195b12"]}],"mendeley":{"formattedCitation":"[8,9]","plainTextFormattedCitation":"[8,9]","previouslyFormattedCitation":"[8,9]"},"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[8,9]</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w:t>
      </w:r>
      <w:r w:rsidRPr="00B05FA2">
        <w:rPr>
          <w:rStyle w:val="fontstyle01"/>
        </w:rPr>
        <w:t xml:space="preserve">К тому же в </w:t>
      </w:r>
      <w:r w:rsidRPr="00B05FA2">
        <w:rPr>
          <w:rFonts w:ascii="Times New Roman" w:hAnsi="Times New Roman" w:cs="Times New Roman"/>
          <w:sz w:val="28"/>
          <w:szCs w:val="28"/>
        </w:rPr>
        <w:t xml:space="preserve">40–70% случаев обнаруживаются аллергические реакции на пищевые продукты растительного происхождения, в том числе, не относящиеся к перекрестным аллергенам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ISBN":"2017624225229","author":[{"dropping-particle":"","family":"Сновская","given":"М.А.","non-dropping-particle":"","parse-names":false,"suffix":""},{"dropping-particle":"","family":"Намазова-Баранова","given":"Л.С.","non-dropping-particle":"","parse-names":false,"suffix":""},{"dropping-particle":"","family":"Малышев","given":"В.С.","non-dropping-particle":"","parse-names":false,"suffix":""},{"dropping-particle":"","family":"Кожевникова","given":"О.В.","non-dropping-particle":"","parse-names":false,"suffix":""},{"dropping-particle":"","family":"Батырова","given":"А.С.","non-dropping-particle":"","parse-names":false,"suffix":""},{"dropping-particle":"","family":"Вишнева","given":"Е.А.","non-dropping-particle":"","parse-names":false,"suffix":""}],"container-title":"Клиническая лабораторная диагностика","id":"ITEM-1","issue":"4","issued":{"date-parts":[["2017"]]},"page":"225-229","title":"Диагностическое определение sIgE к аллергенам пыльцы деревьев тест- системой «Алкор-Био» и методом ImmunoCAP","type":"article-journal","volume":"62"},"uris":["http://www.mendeley.com/documents/?uuid=3816550b-6c1f-40d9-9be8-1d223ff82a48"]}],"mendeley":{"formattedCitation":"[10]","plainTextFormattedCitation":"[10]","previouslyFormattedCitation":"[10]"},"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[10]</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что существенно осложняет диагностическую ориентированность. </w:t>
      </w:r>
      <w:r w:rsidRPr="00B05FA2">
        <w:rPr>
          <w:rStyle w:val="fontstyle01"/>
        </w:rPr>
        <w:t xml:space="preserve">В Республике Казахстан ситуация с заболеваемостью </w:t>
      </w:r>
      <w:r>
        <w:rPr>
          <w:rStyle w:val="fontstyle01"/>
        </w:rPr>
        <w:t>АР</w:t>
      </w:r>
      <w:r w:rsidRPr="00B05FA2">
        <w:rPr>
          <w:rStyle w:val="fontstyle01"/>
        </w:rPr>
        <w:t xml:space="preserve"> такова, что среди городских жителей 15-20% заболевших, а среди сельских жителей – 10-15%. Причем все эти показатели растут в полном соответствии с мировыми тенденциями</w:t>
      </w:r>
      <w:r w:rsidRPr="00B05FA2">
        <w:rPr>
          <w:rFonts w:ascii="Times New Roman" w:hAnsi="Times New Roman" w:cs="Times New Roman"/>
          <w:sz w:val="28"/>
          <w:szCs w:val="28"/>
        </w:rPr>
        <w:t xml:space="preserve"> </w:t>
      </w:r>
      <w:r w:rsidRPr="00B05FA2">
        <w:rPr>
          <w:rStyle w:val="fontstyle01"/>
        </w:rPr>
        <w:fldChar w:fldCharType="begin" w:fldLock="1"/>
      </w:r>
      <w:r w:rsidRPr="00B05FA2">
        <w:rPr>
          <w:rStyle w:val="fontstyle01"/>
        </w:rPr>
        <w:instrText>ADDIN CSL_CITATION {"citationItems":[{"id":"ITEM-1","itemData":{"author":[{"dropping-particle":"","family":"Нурпеисов","given":"Т.Т.","non-dropping-particle":"","parse-names":false,"suffix":""}],"container-title":"Вестник КазНМУ","id":"ITEM-1","issue":"4","issued":{"date-parts":[["2017"]]},"page":"416-418","title":"Аллергология казахстана: успехи и перспективы","type":"article-journal"},"uris":["http://www.mendeley.com/documents/?uuid=a536026d-a1c8-47c7-a12d-7fda13542f77"]}],"mendeley":{"formattedCitation":"[11]","plainTextFormattedCitation":"[11]","previouslyFormattedCitation":"[11]"},"properties":{"noteIndex":0},"schema":"https://github.com/citation-style-language/schema/raw/master/csl-citation.json"}</w:instrText>
      </w:r>
      <w:r w:rsidRPr="00B05FA2">
        <w:rPr>
          <w:rStyle w:val="fontstyle01"/>
        </w:rPr>
        <w:fldChar w:fldCharType="separate"/>
      </w:r>
      <w:r w:rsidRPr="00B05FA2">
        <w:rPr>
          <w:rStyle w:val="fontstyle01"/>
          <w:noProof/>
        </w:rPr>
        <w:t>[11]</w:t>
      </w:r>
      <w:r w:rsidRPr="00B05FA2">
        <w:rPr>
          <w:rStyle w:val="fontstyle01"/>
        </w:rPr>
        <w:fldChar w:fldCharType="end"/>
      </w:r>
      <w:r w:rsidRPr="00B05FA2">
        <w:rPr>
          <w:rFonts w:ascii="Times New Roman" w:hAnsi="Times New Roman" w:cs="Times New Roman"/>
          <w:sz w:val="28"/>
          <w:szCs w:val="28"/>
        </w:rPr>
        <w:t>.</w:t>
      </w:r>
    </w:p>
    <w:p w:rsidR="00E4425F" w:rsidRPr="00B05FA2" w:rsidRDefault="00E4425F" w:rsidP="00E4425F">
      <w:pPr>
        <w:tabs>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 xml:space="preserve">Самым распространенным сезонным аллергическим заболеванием на территории Казахстана является поллиноз, которым страдает каждый четвертый житель планеты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{"citationItems":[{"id":"ITEM-1","itemData":{"DOI":"10.24411/ 2542-2006-2019-10047","ISBN":"9788578110796","ISSN":"1098-6596","PMID":"25246403","abstract":"Predicting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Дикарева","given":"Т.В.","non-dropping-particle":"","parse-names":false,"suffix":""},{"dropping-particle":"","family":"Румянцев","given":"В.Ю.","non-dropping-particle":"","parse-names":false,"suffix":""},{"dropping-particle":"","family":"Щербакова","given":"В.В.","non-dropping-particle":"","parse-names":false,"suffix":""}],"container-title":"Экосистемы: экология и динамика","id":"ITEM-1","issue":"4","issued":{"date-parts":[["2019"]]},"page":"99-132","title":"Распространение аллергенных растений на территории России и Казахстана: проблемы изучения и некоторые результаты","type":"article-journal","volume":"3"},"uris":["http://www.mendeley.com/documents/?uuid=a7faa44a-c816-4757-a1b4-dff38958a689"]}],"mendeley":{"formattedCitation":"[12]","plainTextFormattedCitation":"[12]","previouslyFormattedCitation":"[12]"},"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[12]</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w:t>
      </w:r>
      <w:r w:rsidRPr="00B05FA2">
        <w:rPr>
          <w:rStyle w:val="fontstyle01"/>
        </w:rPr>
        <w:t xml:space="preserve">Наиболее частым клиническим проявлением поллиноза является </w:t>
      </w:r>
      <w:r>
        <w:rPr>
          <w:rStyle w:val="fontstyle01"/>
        </w:rPr>
        <w:t>АР</w:t>
      </w:r>
      <w:r w:rsidRPr="00B05FA2">
        <w:rPr>
          <w:rStyle w:val="fontstyle01"/>
        </w:rPr>
        <w:t xml:space="preserve">, характеризующийся ринореей, заложенностью носа, зудом в носовой полости и чиханием, которые носят обратимый характер после прекращения экспозиции аллергенов или при лечении </w:t>
      </w:r>
      <w:r w:rsidRPr="00B05FA2">
        <w:rPr>
          <w:rStyle w:val="fontstyle01"/>
        </w:rPr>
        <w:fldChar w:fldCharType="begin" w:fldLock="1"/>
      </w:r>
      <w:r w:rsidRPr="00B05FA2">
        <w:rPr>
          <w:rStyle w:val="fontstyle01"/>
        </w:rPr>
        <w:instrText>ADDIN CSL_CITATION {"citationItems":[{"id":"ITEM-1","itemData":{"author":[{"dropping-particle":"","family":"Семенова","given":"И.В.","non-dropping-particle":"","parse-names":false,"suffix":""},{"dropping-particle":"","family":"Выхристенко","given":"Л.Р.","non-dropping-particle":"","parse-names":false,"suffix":""}],"container-title":"Вестник ВГМУ","id":"ITEM-1","issue":"1","issued":{"date-parts":[["2014"]]},"page":"91-97","title":"Комплексная оценка клинической эффективности при пыльцевой аллергии","type":"article-journal","volume":"13"},"uris":["http://www.mendeley.com/documents/?uuid=c25feb0a-6a95-496f-8baa-ca6165169e7f"]},{"id":"ITEM-2","itemData":{"author":[{"dropping-particle":"","family":"Кунельская","given":"Н.Л.","non-dropping-particle":"","parse-names":false,"suffix":""},{"dropping-particle":"","family":"Лучшева","given":"Ю.В.","non-dropping-particle":"","parse-names":false,"suffix":""},{"dropping-particle":"","family":"Г.Н.","given":"Изотова","non-dropping-particle":"","parse-names":false,"suffix":""}],"container-title":"Медицинский совет","id":"ITEM-2","issued":{"date-parts":[["2015"]]},"page":"28-34","title":"Аллергический ринит как одна из граней поллиноза","type":"article-journal","volume":"3"},"uris":["http://www.mendeley.com/documents/?uuid=c78d1f0e-5244-42f2-87dc-60767a5bfb0e"]},{"id":"ITEM-3","itemData":{"ISBN":"2018207679","author":[{"dropping-particle":"","family":"Рязанцев","given":"С.В.","non-dropping-particle":"","parse-names":false,"suffix":""},{"dropping-particle":"","family":"Гончаров","given":"О.И.","non-dropping-particle":"","parse-names":false,"suffix":""}],"container-title":"Медицинский совет","id":"ITEM-3","issue":"20","issued":{"date-parts":[["2018"]]},"page":"76-79","title":"Аллергический ринит","type":"article-journal"},"uris":["http://www.mendeley.com/documents/?uuid=4b37e192-dab5-4390-bee6-269224349e91"]}],"mendeley":{"formattedCitation":"[13–15]","plainTextFormattedCitation":"[13–15]","previouslyFormattedCitation":"[13–15]"},"properties":{"noteIndex":0},"schema":"https://github.com/citation-style-language/schema/raw/master/csl-citation.json"}</w:instrText>
      </w:r>
      <w:r w:rsidRPr="00B05FA2">
        <w:rPr>
          <w:rStyle w:val="fontstyle01"/>
        </w:rPr>
        <w:fldChar w:fldCharType="separate"/>
      </w:r>
      <w:r w:rsidRPr="00B05FA2">
        <w:rPr>
          <w:rStyle w:val="fontstyle01"/>
          <w:noProof/>
        </w:rPr>
        <w:t>[13–15]</w:t>
      </w:r>
      <w:r w:rsidRPr="00B05FA2">
        <w:rPr>
          <w:rStyle w:val="fontstyle01"/>
        </w:rPr>
        <w:fldChar w:fldCharType="end"/>
      </w:r>
      <w:r w:rsidRPr="00B05FA2">
        <w:rPr>
          <w:rStyle w:val="fontstyle01"/>
        </w:rPr>
        <w:t xml:space="preserve">. </w:t>
      </w:r>
      <w:r>
        <w:rPr>
          <w:rFonts w:ascii="Times New Roman" w:hAnsi="Times New Roman" w:cs="Times New Roman"/>
          <w:sz w:val="28"/>
          <w:szCs w:val="28"/>
        </w:rPr>
        <w:t>АР</w:t>
      </w:r>
      <w:r w:rsidRPr="00B05FA2">
        <w:rPr>
          <w:rFonts w:ascii="Times New Roman" w:hAnsi="Times New Roman" w:cs="Times New Roman"/>
          <w:sz w:val="28"/>
          <w:szCs w:val="28"/>
        </w:rPr>
        <w:t xml:space="preserve"> стали серьезной проблемой для Казахстана за последние десятилетия. Многочисленные факторы, среди которых наиболее значимыми являются климато-географические особенности, экологическая обстановка, уровень социально-экономического развития региона усугубляют картину заболеваемости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{"citationItems":[{"id":"ITEM-1","itemData":{"author":[{"dropping-particle":"","family":"Нурпеисов","given":"Т.Т.","non-dropping-particle":"","parse-names":false,"suffix":""}],"container-title":"Вестник КазНМУ","id":"ITEM-1","issue":"4","issued":{"date-parts":[["2017"]]},"page":"416-418","title":"Аллергология казахстана: успехи и перспективы","type":"article-journal"},"uris":["http://www.mendeley.com/documents/?uuid=a536026d-a1c8-47c7-a12d-7fda13542f77"]}],"mendeley":{"formattedCitation":"[11]","plainTextFormattedCitation":"[11]","previouslyFormattedCitation":"[11]"},"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[11]</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В последние годы во всем мире изучается взаимосвязь аллергических заболеваний с низкой концентрацией 25-гидроксивитамина D (25(ОН)D) в крови. Была обнаружена связь между концентрацией 25(ОН)D в сыворотке крови ниже референсных значений (30 нг/мг) и увеличением иммунных расстройств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{"citationItems":[{"id":"ITEM-1","itemData":{"DOI":"10.5005/jp-journals-10013-1209","ISSN":"09756965","abstract":"Allergic rhinitis is a common condition affecting 5 to 40% of general population and its prevalence is increasing. It is a chronic condition characterized by inflammation of nasal mucosa. As per recent studies, there is an association between serum vitamin D levels and allergic rhinitis status. Vitamin D has major role in the regulation of calcium metabolism. In addition to this, it also has a number of immunological effects and takes part in immunomodulation, which can significantly affect the outcome of allergic responses like in allergic rhinitis. Aims and objectives: To establish the correlation between vitamin D3 serum levels and allergic rhinitis. Materials and methods: Vitamin D levels were assessed in 23 patients with allergic rhinitis diagnosed clinically by allergic rhinitis and its impact on asthma 2008 criteria and results were compared with vitamin D status in the normal population of same region. Results: The levels of serum vitamin D levels were significantly low in the patients of allergic rhinitis. Conclusion: Measuring of serum levels of vitamin D could be considered in the routine assessment of patients with allergic rhinitis.","author":[{"dropping-particle":"","family":"Thakkar","given":"Bhaskar","non-dropping-particle":"","parse-names":false,"suffix":""},{"dropping-particle":"","family":"Katarkar","given":"Ashish","non-dropping-particle":"","parse-names":false,"suffix":""},{"dropping-particle":"","family":"Modh","given":"Datt","non-dropping-particle":"","parse-names":false,"suffix":""},{"dropping-particle":"","family":"Jain","given":"Anil","non-dropping-particle":"","parse-names":false,"suffix":""},{"dropping-particle":"","family":"Shah","given":"Pankaj","non-dropping-particle":"","parse-names":false,"suffix":""},{"dropping-particle":"","family":"Joshi","given":"Krupal","non-dropping-particle":"","parse-names":false,"suffix":""}],"container-title":"Clinical Rhinology","id":"ITEM-1","issue":"3","issued":{"date-parts":[["2014"]]},"page":"112-116","title":"Deficiency of vitamin D in allergic rhinitis: A possible factor in multifactorial disease","type":"article-journal","volume":"7"},"uris":["http://www.mendeley.com/documents/?uuid=6c5d3b80-5dd8-4f9f-ae57-701338b294ad"]}],"mendeley":{"formattedCitation":"[16]","plainTextFormattedCitation":"[16]","previouslyFormattedCitation":"[16]"},"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[16]</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Данные особенности в совокупности низкой обеспеченностью организма 25(ОН)D у населения Казахстана усугубляет рост респираторных аллергических заболеваний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{"citationItems":[{"id":"ITEM-1","itemData":{"DOI":"10.1016/J.JSBMB.2019.105565","ISSN":"18791220","PMID":"31812522","abstract":"Vitamin D deficiency (VDD) is one of the serious and highly debatable public health problems affecting at least one billion of world population. This study objected to evaluate Vitamin D status in adult population of both sexes residing in different geographical areas of Kazakhstan and to elucidate the possible contributing factors related to VDD. This cross-sectional study covered 6 regions of Kazakhstan and applied the systematic random sampling to recruit 1347 healthy adults (of whom 819 were females) with mean age 44 ± 14 years. The concentration of 25-hydroxy vitamin D (25-OHD) was measured from May 2018 to August 2018 with Architect 25OH Vitamin D assay (Abbott Ireland Diagnostics Division Lisnamuck, Longford Co. Longford Ireland). Vitamin D deficiency was defined as 25-OHD values not exceeding 20 ng/mL as a reference threshold in healthy population. The median serum 25(OH)D concentrations in all studied regions of Kazakhstan were below the reference threshold (20 ng/mL). The lowest range of vitamin D (&lt;10 ng/mL) was observed more commonly in females (34.6 % – 283) as compared to males (16.7 % – 88) and was significantly higher in Asians (33.2 % – 352) in contrast with Caucasians (6.7 % – 19) (χ2 = 177,939; D.f. = 3; p-value=&lt;0,001). The proportion of severe VDD was higher in individuals with low body mass index (31.1 % – 188) vs. individuals with high body mass index (18.7 % – 50). In this study individuals aged 60 years and older had the most favorable situation with 25-OHD concentrations since these were normal in 14.4 % of observations (χ2 = 26,589; D.f. = 6; p-value=&lt;0001). Studying the prevalence of VDD is an important public health task. Further research is needed to understand the epidemiology of VDD in more details to tailor intervention programs.","author":[{"dropping-particle":"","family":"Gromova","given":"Olga","non-dropping-particle":"","parse-names":false,"suffix":""},{"dropping-particle":"","family":"Doschanova","given":"Aikerm","non-dropping-particle":"","parse-names":false,"suffix":""},{"dropping-particle":"","family":"Lokshin","given":"Vyacheslav","non-dropping-particle":"","parse-names":false,"suffix":""},{"dropping-particle":"","family":"Tuletova","given":"Ainur","non-dropping-particle":"","parse-names":false,"suffix":""},{"dropping-particle":"","family":"Grebennikova","given":"Galina","non-dropping-particle":"","parse-names":false,"suffix":""},{"dropping-particle":"","family":"Daniyarova","given":"Laura","non-dropping-particle":"","parse-names":false,"suffix":""},{"dropping-particle":"","family":"Kaishibayeva","given":"Gulnaz","non-dropping-particle":"","parse-names":false,"suffix":""},{"dropping-particle":"","family":"Nurpeissov","given":"Tair","non-dropping-particle":"","parse-names":false,"suffix":""},{"dropping-particle":"","family":"Khan","given":"Viktoriya","non-dropping-particle":"","parse-names":false,"suffix":""},{"dropping-particle":"","family":"Semenova","given":"Yuliya","non-dropping-particle":"","parse-names":false,"suffix":""},{"dropping-particle":"","family":"Chibisova","given":"Albina","non-dropping-particle":"","parse-names":false,"suffix":""},{"dropping-particle":"","family":"Suzdalskaya","given":"Natalia","non-dropping-particle":"","parse-names":false,"suffix":""},{"dropping-particle":"","family":"Aitaly","given":"Zhanara","non-dropping-particle":"","parse-names":false,"suffix":""},{"dropping-particle":"","family":"Glushkova","given":"Natalia","non-dropping-particle":"","parse-names":false,"suffix":""}],"container-title":"Journal of Steroid Biochemistry and Molecular Biology","id":"ITEM-1","issue":"19","issued":{"date-parts":[["2020"]]},"page":"105565","publisher":"Elsevier Ltd","title":"Vitamin D deficiency in Kazakhstan: Cross-Sectional study","type":"article-journal","volume":"199"},"uris":["http://www.mendeley.com/documents/?uuid=3b24547d-830c-48c0-8c78-f25709078b03"]}],"mendeley":{"formattedCitation":"[17]","plainTextFormattedCitation":"[17]","previouslyFormattedCitation":"[17]"},"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[17]</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w:t>
      </w:r>
    </w:p>
    <w:p w:rsidR="00E4425F" w:rsidRPr="00B05FA2" w:rsidRDefault="00E4425F" w:rsidP="00E4425F">
      <w:pPr>
        <w:pStyle w:val="a4"/>
        <w:tabs>
          <w:tab w:val="left" w:pos="851"/>
        </w:tabs>
        <w:spacing w:after="0" w:line="240" w:lineRule="auto"/>
        <w:ind w:left="0" w:firstLine="567"/>
        <w:jc w:val="both"/>
        <w:rPr>
          <w:rFonts w:ascii="Times New Roman" w:hAnsi="Times New Roman" w:cs="Times New Roman"/>
          <w:sz w:val="28"/>
          <w:szCs w:val="28"/>
        </w:rPr>
      </w:pPr>
      <w:r w:rsidRPr="00B05FA2">
        <w:rPr>
          <w:rFonts w:ascii="Times New Roman" w:hAnsi="Times New Roman" w:cs="Times New Roman"/>
          <w:sz w:val="28"/>
          <w:szCs w:val="28"/>
        </w:rPr>
        <w:t xml:space="preserve">На сегодняшний день основным патогенетическим методом лечения сезонных аллергических заболеваний является аллерген-специфическая иммунотерапия (АСИТ). </w:t>
      </w:r>
      <w:r w:rsidRPr="00B05FA2">
        <w:rPr>
          <w:rStyle w:val="fontstyle01"/>
        </w:rPr>
        <w:t xml:space="preserve">Данный метод лечения воздействует на все патогенетические звенья аллергического процесса, обладает длительным профилактическим эффектом и стойкой ремиссией после завершения лечебных курсов </w:t>
      </w:r>
      <w:r w:rsidRPr="00B05FA2">
        <w:rPr>
          <w:rStyle w:val="fontstyle01"/>
        </w:rPr>
        <w:fldChar w:fldCharType="begin" w:fldLock="1"/>
      </w:r>
      <w:r w:rsidRPr="00B05FA2">
        <w:rPr>
          <w:rStyle w:val="fontstyle01"/>
        </w:rPr>
        <w:instrText>ADDIN CSL_CITATION {"citationItems":[{"id":"ITEM-1","itemData":{"DOI":"10.1016/j.jaip.2017.04.020","ISSN":"22132198","PMID":"28734858","abstract":"Background The 5-grass pollen sublingual tablet has been approved for the treatment of grass pollen–induced allergic rhinoconjunctivitis in subjects with or without intermittent asthma. Objective To provide a comprehensive analysis of the safety profile of the 5-grass tablet on the basis of pooled data from 8 clinical trials. Methods Subjects (5-65 years old) with medically confirmed grass pollen–induced allergic rhinoconjunctivitis were included in the double-blind studies. Those with intermittent asthma not requiring treatment other than inhaled beta-2 agonists could participate. Randomized subjects received a 5-grass or placebo tablet daily 2 or 4 months preseasonally and coseasonally (5 single-season studies, over 3 years in a long-term study) or outside the season (phase I studies). Adverse events were pooled and analyzed descriptively. Results Among 2,512 subjects enrolled, 1,514 received the 5-grass tablet. A total of 1,038 adults and 154 pediatric (5-17 years old) subjects were treated with the 300 Index of Reactivity dose (vs 840 and 158 placebo recipients, respectively); 17% had intermittent asthma, and 62% were polysensitized. Adverse reactions (ADRs) reported in more than 10% of actively treated subjects were mild or moderate application-site reactions, for example, oral pruritus 25% (placebo 4%) and throat irritation 21% (placebo 3%). These generally occurred during the first week of treatment and decreased over time. They led to discontinuation in less than 2.5% of subjects. None of the 3 serious ADRs were reports of anaphylaxis. No notable differences were detected in terms of incidence, nature, and severity of ADRs between adult and pediatric populations, nor between subjects with or without asthma. Conclusions The pooled analysis in 1,514 subjects from 8 clinical studies demonstrates that the 5-grass pollen sublingual tablet has a similar good safety profile in adult and pediatric patients with or without mild, intermittent asthma.","author":[{"dropping-particle":"","family":"Casale","given":"Thomas B.","non-dropping-particle":"","parse-names":false,"suffix":""},{"dropping-particle":"","family":"Cox","given":"Linda S.","non-dropping-particle":"","parse-names":false,"suffix":""},{"dropping-particle":"","family":"Wahn","given":"Ulrich","non-dropping-particle":"","parse-names":false,"suffix":""},{"dropping-particle":"","family":"Golden","given":"David B.K.","non-dropping-particle":"","parse-names":false,"suffix":""},{"dropping-particle":"","family":"Bons","given":"Brigitte","non-dropping-particle":"","parse-names":false,"suffix":""},{"dropping-particle":"","family":"Didier","given":"Alain","non-dropping-particle":"","parse-names":false,"suffix":""}],"container-title":"Journal of Allergy and Clinical Immunology: In Practice","id":"ITEM-1","issue":"6","issued":{"date-parts":[["2017"]]},"page":"1717-1727.e1","publisher":"Elsevier Inc","title":"Safety Review of 5-Grass Pollen Tablet from Pooled Data of Clinical Trials","type":"article-journal","volume":"5"},"uris":["http://www.mendeley.com/documents/?uuid=31ff454d-2b42-425a-bf28-ef03e514a75e"]}],"mendeley":{"formattedCitation":"[18]","plainTextFormattedCitation":"[18]","previouslyFormattedCitation":"[18]"},"properties":{"noteIndex":0},"schema":"https://github.com/citation-style-language/schema/raw/master/csl-citation.json"}</w:instrText>
      </w:r>
      <w:r w:rsidRPr="00B05FA2">
        <w:rPr>
          <w:rStyle w:val="fontstyle01"/>
        </w:rPr>
        <w:fldChar w:fldCharType="separate"/>
      </w:r>
      <w:r w:rsidRPr="00B05FA2">
        <w:rPr>
          <w:rStyle w:val="fontstyle01"/>
          <w:noProof/>
        </w:rPr>
        <w:t>[18]</w:t>
      </w:r>
      <w:r w:rsidRPr="00B05FA2">
        <w:rPr>
          <w:rStyle w:val="fontstyle01"/>
        </w:rPr>
        <w:fldChar w:fldCharType="end"/>
      </w:r>
      <w:r w:rsidRPr="00B05FA2">
        <w:rPr>
          <w:rStyle w:val="fontstyle01"/>
        </w:rPr>
        <w:t xml:space="preserve">. </w:t>
      </w:r>
      <w:r w:rsidRPr="00B05FA2">
        <w:rPr>
          <w:rFonts w:ascii="Times New Roman" w:hAnsi="Times New Roman" w:cs="Times New Roman"/>
          <w:sz w:val="28"/>
          <w:szCs w:val="28"/>
        </w:rPr>
        <w:t xml:space="preserve">В недавних исследованиях АСИТ было высказано предположение о роли 25(ОН)D в качестве потенциального фактора, влияющего на исход лечения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{"citationItems":[{"id":"ITEM-1","itemData":{"DOI":"10.1089/acm.2016.0310","ISSN":"1075-5535","PMID":"28437146","abstract":"Objective: The aim of this study was to evaluate the efficacy and effectiveness of homeopathic intervention in the treatment of seasonal or perennial allergic rhinitis (AR). Method: Randomized controlled trials evaluating all forms of homeopathic treatment for AR were included in a systematic review (SR) of studies published up to and including December 2015. Two authors independently screened potential studies, extracted data, and assessed risk of bias. Primary outcomes included symptom improvement and total quality-of-life score. Treatment effect size was quantified as mean difference (continuous data), or by risk ratio (RR) and odds ratio (dichotomous data), with 95% confidence intervals (CI). Meta-analysis was performed after assessing heterogeneity and risk of bias. Results: Eleven studies were eligible for SR. All trials were placebo-controlled except one. Six trials used the treatment approach known as isopathy, but they were unsuitable for meta-analysis due to problems of heterogeneity and data extraction. The overall standard of methods and reporting was poor: 8/11 trials were assessed as \"high risk of bias\"; only one trial, on isopathy for seasonal AR, possessed reliable evidence. Three trials of variable quality (all using Galphimia glauca for seasonal AR) were included in the meta-analysis: Nasal symptom relief at 2 and 4 weeks (RR = 1.48 [95% CI 1.24-1.77] and 1.27 [95% CI 1.10-1.46], respectively) favored homeopathy compared with placebo; ocular symptom relief at 2 and 4 weeks also favored homeopathy (RR = 1.55 [95% CI 1.33-1.80] and 1.37 [95% CI 1.21-1.56], respectively). The single trial with reliable evidence had a small positive treatment effect without statistical significance. A homeopathic and a conventional nasal spray produced equivalent improvements in nasal and ocular symptoms. Conclusions: The low or uncertain overall quality of the evidence warrants caution in drawing firm conclusions about intervention effects. Use of either Galphimia glauca or a homeopathic nasal spray may have small beneficial effects on the nasal and ocular symptoms of AR. The efficacy of isopathic treatment of AR is unclear.","author":[{"dropping-particle":"","family":"Banerjee","given":"Kushal","non-dropping-particle":"","parse-names":false,"suffix":""},{"dropping-particle":"","family":"Mathie","given":"Robert T.","non-dropping-particle":"","parse-names":false,"suffix":""},{"dropping-particle":"","family":"Costelloe","given":"Céire","non-dropping-particle":"","parse-names":false,"suffix":""},{"dropping-particle":"","family":"Howick","given":"Jeremy","non-dropping-particle":"","parse-names":false,"suffix":""}],"container-title":"The Journal of Alternative and Complementary Medicine","id":"ITEM-1","issue":"6","issued":{"date-parts":[["2017","6"]]},"page":"426-444","title":"Homeopathy for Allergic Rhinitis: A Systematic Review","type":"article-journal","volume":"23"},"uris":["http://www.mendeley.com/documents/?uuid=9bcfc48f-80fc-4b1e-8497-d2a7d619eced"]}],"mendeley":{"formattedCitation":"[19]","plainTextFormattedCitation":"[19]","previouslyFormattedCitation":"[19]"},"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[19]</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Таким образом, недостаточность 25(ОН)D  является одним из возможных факторов, влияющих на эффективность АСИТ </w:t>
      </w:r>
      <w:r w:rsidRPr="00B05FA2">
        <w:rPr>
          <w:rFonts w:ascii="Times New Roman" w:hAnsi="Times New Roman" w:cs="Times New Roman"/>
          <w:sz w:val="28"/>
          <w:szCs w:val="28"/>
        </w:rPr>
        <w:lastRenderedPageBreak/>
        <w:t xml:space="preserve">и подключение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 xml:space="preserve">а в схему лечения может улучшить исход терапии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{"citationItems":[{"id":"ITEM-1","itemData":{"DOI":"10.1016/j.jaci.2016.04.061","ISSN":"10976825","PMID":"27527264","abstract":"Background Data comparing the treatment effect of allergy immunotherapy and pharmacotherapy are lacking. Objective We sought to indirectly compare the treatment effect of sublingual immunotherapy (SLIT)-tablets with pharmacotherapy for seasonal allergic rhinitis (SAR) and perennial allergic rhinitis (PAR). Methods Pooled data from randomized, double-blind, placebo-controlled trials for the clinical development programs of selected allergic rhinitis treatments were evaluated. Total nasal symptom scores (TNSSs) relative to placebo were compared. Subjects scored symptoms daily during entire pollen seasons in 6 timothy grass SLIT-tablet trials (n = 3094) and 2 ragweed SLIT-tablet trials (n = 658) and during the last 8 weeks of treatment in 2 house dust mite (HDM) SLIT-tablet trials (n = 1768). Subjects scored symptoms daily in 7 montelukast (10 mg, n = 6799), 9 desloratadine (5 mg, n = 4455), and 8 mometasone furoate nasal spray (MFNS; 200 μg daily, n = 2140) SAR or PAR trials. SLIT-tablet trials allowed rescue medication use, whereas most pharmacotherapy trials did not. A fixed-effect meta-analysis method estimated differences in on-treatment average TNSSs. Results In grass and ragweed SLIT-tablet trials, overall improvement in TNSSs relative to placebo was 16.3% and 17.1%, respectively. In HDM SLIT-tablet trials, TNSS overall improvement relative to placebo was 16.1%. In the montelukast, desloratadine, and MFNS trials, TNSS overall improvement relative to placebo was 5.4%, 8.5%, and 22.2%, respectively, for SAR trials, and 3.7%, 4.8%, and 11.2%, respectively, for PAR trials. Conclusions Although comparisons were limited by study design heterogeneity and use of rescue medications in SLIT-tablet trials, effects on nasal symptoms with timothy grass and ragweed SLIT-tablets were nearly as great as with MFNS and numerically greater than with montelukast and desloratadine for SAR. HDM SLIT-tablet effects were numerically greater than all pharmacotherapies for PAR. SLIT-tablets offer the additional benefit of long-term efficacy.","author":[{"dropping-particle":"","family":"Durham","given":"Stephen R.","non-dropping-particle":"","parse-names":false,"suffix":""},{"dropping-particle":"","family":"Creticos","given":"Peter S.","non-dropping-particle":"","parse-names":false,"suffix":""},{"dropping-particle":"","family":"Nelson","given":"Harold S.","non-dropping-particle":"","parse-names":false,"suffix":""},{"dropping-particle":"","family":"Li","given":"Ziliang","non-dropping-particle":"","parse-names":false,"suffix":""},{"dropping-particle":"","family":"Kaur","given":"Amarjot","non-dropping-particle":"","parse-names":false,"suffix":""},{"dropping-particle":"","family":"Meltzer","given":"Eli O.","non-dropping-particle":"","parse-names":false,"suffix":""},{"dropping-particle":"","family":"Nolte","given":"Hendrik","non-dropping-particle":"","parse-names":false,"suffix":""}],"container-title":"Journal of Allergy and Clinical Immunology","id":"ITEM-1","issue":"4","issued":{"date-parts":[["2016"]]},"page":"1081-1088.e4","publisher":"Elsevier Inc.","title":"Treatment effect of sublingual immunotherapy tablets and pharmacotherapies for seasonal and perennial allergic rhinitis: Pooled analyses","type":"article-journal","volume":"138"},"uris":["http://www.mendeley.com/documents/?uuid=0acaef42-f482-4702-a80f-05baff389d4e"]}],"mendeley":{"formattedCitation":"[20]","plainTextFormattedCitation":"[20]","previouslyFormattedCitation":"[20]"},"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[20]</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Однако, данные о взаимовлиянии 25(ОН)D и АСИТ остаются противоречивыми и недостаточно изученными.</w:t>
      </w:r>
    </w:p>
    <w:p w:rsidR="00E4425F" w:rsidRPr="00B05FA2" w:rsidRDefault="00E4425F" w:rsidP="00E4425F">
      <w:pPr>
        <w:pStyle w:val="a4"/>
        <w:tabs>
          <w:tab w:val="left" w:pos="284"/>
          <w:tab w:val="left" w:pos="851"/>
        </w:tabs>
        <w:spacing w:after="0" w:line="240" w:lineRule="auto"/>
        <w:ind w:left="0" w:firstLine="567"/>
        <w:jc w:val="both"/>
        <w:rPr>
          <w:rFonts w:ascii="Times New Roman" w:hAnsi="Times New Roman" w:cs="Times New Roman"/>
          <w:sz w:val="28"/>
          <w:szCs w:val="28"/>
        </w:rPr>
      </w:pPr>
      <w:r w:rsidRPr="00B05FA2">
        <w:rPr>
          <w:rFonts w:ascii="Times New Roman" w:hAnsi="Times New Roman" w:cs="Times New Roman"/>
          <w:sz w:val="28"/>
          <w:szCs w:val="28"/>
        </w:rPr>
        <w:t xml:space="preserve">Учитывая механизм воздействия АСИТ на патогенетическом уровне, в исследование добавлено определение общего и специфического иммуноглобулина Е и эозинофильного катионного белка в качестве биомаркеров эффективности АСИТ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{"citationItems":[{"id":"ITEM-1","itemData":{"DOI":"10.1159/000493647","ISSN":"14230097","PMID":"30391954","abstract":"Allergen-specific immunotherapy (AIT) is the only allergy treatment that confers long-term symptom amelioration for patients suffering from allergy. The most frequently used allergen application route is subcutaneous injection (SCIT), commonly taken as the gold standard, followed by sublingual (SLIT) or oral (OIT) application of allergen preparations. This is an up-to-date review of the clinical evidence for a novel route of allergen application, i.e., directly into lymph nodes - intralymphatic immunotherapy (ILIT). The major advantages of ILIT over the current AIT approaches are its short duration and the low allergen doses administered. The whole treatment consists of merely 3 ultrasound-guided injections into inguinal lymph nodes 1 month apart. While the number of patients included in randomised controlled trials is still limited, the clinical results for ILIT are encouraging, but more clinical trials are needed, as well as more preclinical work for optimising formulations.","author":[{"dropping-particle":"","family":"Senti","given":"Gabriela","non-dropping-particle":"","parse-names":false,"suffix":""},{"dropping-particle":"","family":"Freiburghaus","given":"Andreas U.","non-dropping-particle":"","parse-names":false,"suffix":""},{"dropping-particle":"","family":"Larenas-Linnemann","given":"Désirée","non-dropping-particle":"","parse-names":false,"suffix":""},{"dropping-particle":"","family":"Hoffmann","given":"Hans Jürgen","non-dropping-particle":"","parse-names":false,"suffix":""},{"dropping-particle":"","family":"Patterson","given":"Amber M.","non-dropping-particle":"","parse-names":false,"suffix":""},{"dropping-particle":"","family":"Klimek","given":"Ludger","non-dropping-particle":"","parse-names":false,"suffix":""},{"dropping-particle":"","family":"Bona","given":"Danilo","non-dropping-particle":"Di","parse-names":false,"suffix":""},{"dropping-particle":"","family":"Pfaar","given":"Oliver","non-dropping-particle":"","parse-names":false,"suffix":""},{"dropping-particle":"","family":"Ahlbeck","given":"Lars","non-dropping-particle":"","parse-names":false,"suffix":""},{"dropping-particle":"","family":"Akdis","given":"Mübeccel","non-dropping-particle":"","parse-names":false,"suffix":""},{"dropping-particle":"","family":"Weinfeld","given":"Dan","non-dropping-particle":"","parse-names":false,"suffix":""},{"dropping-particle":"","family":"Contreras-Verduzco","given":"Francisco A.","non-dropping-particle":"","parse-names":false,"suffix":""},{"dropping-particle":"","family":"Pedroza-Melendez","given":"Alvaro","non-dropping-particle":"","parse-names":false,"suffix":""},{"dropping-particle":"","family":"Skaarup","given":"Søren H.","non-dropping-particle":"","parse-names":false,"suffix":""},{"dropping-particle":"","family":"Lee","given":"Sang Min","non-dropping-particle":"","parse-names":false,"suffix":""},{"dropping-particle":"","family":"Cardell","given":"Lars Olaf","non-dropping-particle":"","parse-names":false,"suffix":""},{"dropping-particle":"","family":"Schmid","given":"Johannes M.","non-dropping-particle":"","parse-names":false,"suffix":""},{"dropping-particle":"","family":"Westin","given":"Ulla","non-dropping-particle":"","parse-names":false,"suffix":""},{"dropping-particle":"","family":"Dollner","given":"Ralph","non-dropping-particle":"","parse-names":false,"suffix":""},{"dropping-particle":"","family":"Kündig","given":"Thomas M.","non-dropping-particle":"","parse-names":false,"suffix":""}],"container-title":"International Archives of Allergy and Immunology","id":"ITEM-1","issue":"2","issued":{"date-parts":[["2019"]]},"page":"141-149","title":"Intralymphatic Immunotherapy: Update and Unmet Needs","type":"article-journal","volume":"178"},"uris":["http://www.mendeley.com/documents/?uuid=f56182c8-c4a9-4c41-a75f-1d99087fa304"]},{"id":"ITEM-2","itemData":{"DOI":"10.1080/14712598.2016.1190829","ISSN":"17447682","PMID":"27269991","abstract":"Introduction: Allergic rhinitis (AR) affects over 20% of the population of Europe and the United States. Allergen immunotherapy (AIT) is currently the only form of treatment that affects symptoms and modifies the progression of disease. Established forms of AIT include subcutaneous (SCIT) and sublingual (SLIT) immunotherapy and are widely effective, yet only 2-9% of eligible patients undergo therapy, likely due to the long duration of treatment. As a result, novel, faster forms of AIT are currently under development. Areas covered: This article provides an overview of AR and summarises the efficacy and mechanisms of established forms of AIT, highlighting the current drawbacks. We discuss novel strategies of AIT that have been developed in an attempt to tackle these limitations, including epicutaneous, intradermal and intralymphatic immunotherapy (ILIT), focusing on ILIT, the treatment that has been most comprehensively assessed. Expert opinion: Current strategies to treat AR suffer from a poor safety profile and, importantly, lack of adherence. ILIT is a faster and safer form of AIT, with a treatment regime of only 12 weeks. Further validation is required, but ILIT, with its short and comparatively inexpensive protocol, has the potential to offer disease-modifying therapy to a larger number of patients.","author":[{"dropping-particle":"","family":"Larsson","given":"Olivia","non-dropping-particle":"","parse-names":false,"suffix":""},{"dropping-particle":"","family":"Hellkvist","given":"Laila","non-dropping-particle":"","parse-names":false,"suffix":""},{"dropping-particle":"","family":"Peterson-Westin","given":"Ulla","non-dropping-particle":"","parse-names":false,"suffix":""},{"dropping-particle":"","family":"Cardell","given":"Lars Olaf","non-dropping-particle":"","parse-names":false,"suffix":""}],"container-title":"Expert Opinion on Biological Therapy","id":"ITEM-2","issue":"9","issued":{"date-parts":[["2016"]]},"page":"1143-1150","title":"Novel strategies for the treatment of grass pollen-induced allergic rhinitis","type":"article-journal","volume":"16"},"uris":["http://www.mendeley.com/documents/?uuid=c4a3b695-4a20-4392-829d-678d215f89cd"]}],"mendeley":{"formattedCitation":"[21,22]","plainTextFormattedCitation":"[21,22]","previouslyFormattedCitation":"[21,22]"},"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[21,22]</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На современном этапе для подбора препарата для АСИТ наиболее достоверным методом дифференциальной диагностики истинной сенсибилизации и перекрестной реактивности у полисенсибилизированных пациентов является молекулярная аллергодиагностика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{"citationItems":[{"id":"ITEM-1","itemData":{"DOI":"10.1016/j.jaci.2017.03.050","ISSN":"10976825","PMID":"28602936","abstract":"Background: Allergic rhinitis (AR) affects 10% to 40% of the population. It reduces quality of life and school and work performance and is a frequent reason for office visits in general practice. Medical costs are large, but avoidable costs associated with lost work productivity are even larger than those incurred by asthma. New evidence has accumulated since the last revision of the Allergic Rhinitis and its Impact on Asthma (ARIA) guidelines in 2010, prompting its update. Objective: We sought to provide a targeted update of the ARIA guidelines. Methods: The ARIA guideline panel identified new clinical questions and selected questions requiring an update. We performed systematic reviews of health effects and the evidence about patients’ values and preferences and resource requirements (up to June 2016). We followed the Grading of Recommendations Assessment, Development, and Evaluation (GRADE) evidence-to-decision frameworks to develop recommendations. Results: The 2016 revision of the ARIA guidelines provides both updated and new recommendations about the pharmacologic treatment of AR. Specifically, it addresses the relative merits of using oral H1-antihistamines, intranasal H1-antihistamines, intranasal corticosteroids, and leukotriene receptor antagonists either alone or in combination. The ARIA guideline panel provides specific recommendations for the choice of treatment and the rationale for the choice and discusses specific considerations that clinicians and patients might want to review to choose the management most appropriate for an individual patient. Conclusions: Appropriate treatment of AR might improve patients’ quality of life and school and work productivity. ARIA recommendations support patients, their caregivers, and health care providers in choosing the optimal treatment.","author":[{"dropping-particle":"","family":"Brożek","given":"Jan L.","non-dropping-particle":"","parse-names":false,"suffix":""},{"dropping-particle":"","family":"Bousquet","given":"Jean","non-dropping-particle":"","parse-names":false,"suffix":""},{"dropping-particle":"","family":"Agache","given":"Ioana","non-dropping-particle":"","parse-names":false,"suffix":""},{"dropping-particle":"","family":"Agarwal","given":"Arnav","non-dropping-particle":"","parse-names":false,"suffix":""},{"dropping-particle":"","family":"Bachert","given":"Claus","non-dropping-particle":"","parse-names":false,"suffix":""},{"dropping-particle":"","family":"Bosnic-Anticevich","given":"Sinthia","non-dropping-particle":"","parse-names":false,"suffix":""},{"dropping-particle":"","family":"Brignardello-Petersen","given":"Romina","non-dropping-particle":"","parse-names":false,"suffix":""},{"dropping-particle":"","family":"Canonica","given":"G. Walter","non-dropping-particle":"","parse-names":false,"suffix":""},{"dropping-particle":"","family":"Casale","given":"Thomas","non-dropping-particle":"","parse-names":false,"suffix":""},{"dropping-particle":"","family":"Chavannes","given":"Niels H.","non-dropping-particle":"","parse-names":false,"suffix":""},{"dropping-particle":"","family":"Correia de Sousa","given":"Jaime","non-dropping-particle":"","parse-names":false,"suffix":""},{"dropping-particle":"","family":"Cruz","given":"Alvaro A.","non-dropping-particle":"","parse-names":false,"suffix":""},{"dropping-particle":"","family":"Cuello-Garcia","given":"Carlos A.","non-dropping-particle":"","parse-names":false,"suffix":""},{"dropping-particle":"","family":"Demoly","given":"Pascal","non-dropping-particle":"","parse-names":false,"suffix":""},{"dropping-particle":"","family":"Dykewicz","given":"Mark","non-dropping-particle":"","parse-names":false,"suffix":""},{"dropping-particle":"","family":"Etxeandia-Ikobaltzeta","given":"Itziar","non-dropping-particle":"","parse-names":false,"suffix":""},{"dropping-particle":"","family":"Florez","given":"Ivan D.","non-dropping-particle":"","parse-names":false,"suffix":""},{"dropping-particle":"","family":"Fokkens","given":"Wytske","non-dropping-particle":"","parse-names":false,"suffix":""},{"dropping-particle":"","family":"Fonseca","given":"Joao","non-dropping-particle":"","parse-names":false,"suffix":""},{"dropping-particle":"","family":"Hellings","given":"Peter W.","non-dropping-particle":"","parse-names":false,"suffix":""},{"dropping-particle":"","family":"Klimek","given":"Ludger","non-dropping-particle":"","parse-names":false,"suffix":""},{"dropping-particle":"","family":"Kowalski","given":"Sergio","non-dropping-particle":"","parse-names":false,"suffix":""},{"dropping-particle":"","family":"Kuna","given":"Piotr","non-dropping-particle":"","parse-names":false,"suffix":""},{"dropping-particle":"","family":"Laisaar","given":"Kaja Triin","non-dropping-particle":"","parse-names":false,"suffix":""},{"dropping-particle":"","family":"Larenas-Linnemann","given":"Désirée E.","non-dropping-particle":"","parse-names":false,"suffix":""},{"dropping-particle":"","family":"Lødrup Carlsen","given":"Karin C.","non-dropping-particle":"","parse-names":false,"suffix":""},{"dropping-particle":"","family":"Manning","given":"Peter J.","non-dropping-particle":"","parse-names":false,"suffix":""},{"dropping-particle":"","family":"Meltzer","given":"Eli","non-dropping-particle":"","parse-names":false,"suffix":""},{"dropping-particle":"","family":"Mullol","given":"Joaquim","non-dropping-particle":"","parse-names":false,"suffix":""},{"dropping-particle":"","family":"Muraro","given":"Antonella","non-dropping-particle":"","parse-names":false,"suffix":""},{"dropping-particle":"","family":"O'Hehir","given":"Robyn","non-dropping-particle":"","parse-names":false,"suffix":""},{"dropping-particle":"","family":"Ohta","given":"Ken","non-dropping-particle":"","parse-names":false,"suffix":""},{"dropping-particle":"","family":"Panzner","given":"Petr","non-dropping-particle":"","parse-names":false,"suffix":""},{"dropping-particle":"","family":"Papadopoulos","given":"Nikolaos","non-dropping-particle":"","parse-names":false,"suffix":""},{"dropping-particle":"","family":"Park","given":"Hae Sim","non-dropping-particle":"","parse-names":false,"suffix":""},{"dropping-particle":"","family":"Passalacqua","given":"Gianni","non-dropping-particle":"","parse-names":false,"suffix":""},{"dropping-particle":"","family":"Pawankar","given":"Ruby","non-dropping-particle":"","parse-names":false,"suffix":""},{"dropping-particle":"","family":"Price","given":"David","non-dropping-particle":"","parse-names":false,"suffix":""},{"dropping-particle":"","family":"Riva","given":"John J.","non-dropping-particle":"","parse-names":false,"suffix":""},{"dropping-particle":"","family":"Roldán","given":"Yetiani","non-dropping-particle":"","parse-names":false,"suffix":""},{"dropping-particle":"","family":"Ryan","given":"Dermot","non-dropping-particle":"","parse-names":false,"suffix":""},{"dropping-particle":"","family":"Sadeghirad","given":"Behnam","non-dropping-particle":"","parse-names":false,"suffix":""},{"dropping-particle":"","family":"Samolinski","given":"Boleslaw","non-dropping-particle":"","parse-names":false,"suffix":""},{"dropping-particle":"","family":"Schmid-Grendelmeier","given":"Peter","non-dropping-particle":"","parse-names":false,"suffix":""},{"dropping-particle":"","family":"Sheikh","given":"Aziz","non-dropping-particle":"","parse-names":false,"suffix":""},{"dropping-particle":"","family":"Togias","given":"Alkis","non-dropping-particle":"","parse-names":false,"suffix":""},{"dropping-particle":"","family":"Valero","given":"Antonio","non-dropping-particle":"","parse-names":false,"suffix":""},{"dropping-particle":"","family":"Valiulis","given":"Arunas","non-dropping-particle":"","parse-names":false,"suffix":""},{"dropping-particle":"","family":"Valovirta","given":"Erkka","non-dropping-particle":"","parse-names":false,"suffix":""},{"dropping-particle":"","family":"Ventresca","given":"Matthew","non-dropping-particle":"","parse-names":false,"suffix":""},{"dropping-particle":"","family":"Wallace","given":"Dana","non-dropping-particle":"","parse-names":false,"suffix":""},{"dropping-particle":"","family":"Waserman","given":"Susan","non-dropping-particle":"","parse-names":false,"suffix":""},{"dropping-particle":"","family":"Wickman","given":"Magnus","non-dropping-particle":"","parse-names":false,"suffix":""},{"dropping-particle":"","family":"Wiercioch","given":"Wojtek","non-dropping-particle":"","parse-names":false,"suffix":""},{"dropping-particle":"","family":"Yepes-Nuñez","given":"Juan José","non-dropping-particle":"","parse-names":false,"suffix":""},{"dropping-particle":"","family":"Zhang","given":"Luo","non-dropping-particle":"","parse-names":false,"suffix":""},{"dropping-particle":"","family":"Zhang","given":"Yuan","non-dropping-particle":"","parse-names":false,"suffix":""},{"dropping-particle":"","family":"Zidarn","given":"Mihaela","non-dropping-particle":"","parse-names":false,"suffix":""},{"dropping-particle":"","family":"Zuberbier","given":"Torsten","non-dropping-particle":"","parse-names":false,"suffix":""},{"dropping-particle":"","family":"Schünemann","given":"Holger J.","non-dropping-particle":"","parse-names":false,"suffix":""}],"container-title":"Journal of Allergy and Clinical Immunology","id":"ITEM-1","issue":"4","issued":{"date-parts":[["2017"]]},"page":"950-958","title":"Allergic Rhinitis and its Impact on Asthma (ARIA) guidelines—2016 revision","type":"article-journal","volume":"140"},"uris":["http://www.mendeley.com/documents/?uuid=0fb3a53d-73fc-4247-9360-df54bcbe1d42"]}],"mendeley":{"formattedCitation":"[23]","plainTextFormattedCitation":"[23]","previouslyFormattedCitation":"[23]"},"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[23]</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 xml:space="preserve">. Данный метод позволяет определить специфический иммуноглобулин Е к более сотне рекомбинантных аллергенных молекул одномоментно, что играет важную роль в установлении причинно-значимого аллергена для подбора АСИТ </w:t>
      </w:r>
      <w:r w:rsidRPr="00B05FA2">
        <w:rPr>
          <w:rFonts w:ascii="Times New Roman" w:hAnsi="Times New Roman" w:cs="Times New Roman"/>
          <w:sz w:val="28"/>
          <w:szCs w:val="28"/>
        </w:rPr>
        <w:fldChar w:fldCharType="begin" w:fldLock="1"/>
      </w:r>
      <w:r w:rsidRPr="00B05FA2">
        <w:rPr>
          <w:rFonts w:ascii="Times New Roman" w:hAnsi="Times New Roman" w:cs="Times New Roman"/>
          <w:sz w:val="28"/>
          <w:szCs w:val="28"/>
        </w:rPr>
        <w:instrText>ADDIN CSL_CITATION {"citationItems":[{"id":"ITEM-1","itemData":{"DOI":"10.1159/000509776","ISSN":"14230097","PMID":"32781452","abstract":"Introduction: Complex cases of multiple allergies can be particularly difficult to diagnose using standard methods such as skin prick tests and assessment of a patient's allergic history. Multiplex allergy testing may improve outcomes for allergy patients by avoiding misdiagnosis and providing reassurance. The ImmunoCAP Immuno Solid-Phase Allergen Chip (ISAC) 112 is a CE-marked, molecular, multiplex, allergy test that can test for IgE antibodies to 112 components from 51 allergen sources. However, its clinical utility is unknown and is difficult to estimate due to the complexity of the diagnostic pathway in which it is used. Objective: To assess how the ImmunoCAP ISAC 112 is currently being used in UK practice. The patient populations in which it may have the most benefit were examined, and the sequence of other tests implemented alongside ISAC was determined. Methods: A retrospective audit of 100 patient cases from 2 UK tertiary allergy clinics was performed. Fifty paediatric and fifty adult cases were selected for audit. The indications for ordering an ISAC test, the other tests used alongside ISAC, and changes in management actioned by the ISAC test were investigated. Results: 73.6% of paediatric and 78% of adult patients referred for an ISAC test were suspected to have multiple sensitizations. The sequence of testing varied greatly between cases, but 70% of adult and 98% of paediatric patients had at least one other investigation prior to an ISAC test. In most cases, ISAC testing confirmed clinical suspicion. Conclusions: A prospective research study is necessary to further investigate the clinical utility and cost-effectiveness of the ISAC. A UK national registry would be of great benefit but will require a large resource base.","author":[{"dropping-particle":"","family":"Erskine","given":"Jamie","non-dropping-particle":"","parse-names":false,"suffix":""},{"dropping-particle":"","family":"Brooker","given":"Elspeth","non-dropping-particle":"","parse-names":false,"suffix":""},{"dropping-particle":"","family":"Leech","given":"Susan","non-dropping-particle":"","parse-names":false,"suffix":""},{"dropping-particle":"","family":"Chalkidou","given":"Anastasia","non-dropping-particle":"","parse-names":false,"suffix":""},{"dropping-particle":"","family":"Keevil","given":"Stephen","non-dropping-particle":"","parse-names":false,"suffix":""},{"dropping-particle":"","family":"North","given":"Jonathan","non-dropping-particle":"","parse-names":false,"suffix":""}],"container-title":"International Archives of Allergy and Immunology","id":"ITEM-1","issue":"1","issued":{"date-parts":[["2021"]]},"page":"14-20","title":"A Retrospective Clinical Audit of the ImmunoCAP ISAC 112 for Multiplex Allergen Testing","type":"article-journal","volume":"182"},"uris":["http://www.mendeley.com/documents/?uuid=4cb789a0-1f6c-4fba-8d2d-557d98e31cb3"]}],"mendeley":{"formattedCitation":"[24]","plainTextFormattedCitation":"[24]","previouslyFormattedCitation":"[24]"},"properties":{"noteIndex":0},"schema":"https://github.com/citation-style-language/schema/raw/master/csl-citation.json"}</w:instrText>
      </w:r>
      <w:r w:rsidRPr="00B05FA2">
        <w:rPr>
          <w:rFonts w:ascii="Times New Roman" w:hAnsi="Times New Roman" w:cs="Times New Roman"/>
          <w:sz w:val="28"/>
          <w:szCs w:val="28"/>
        </w:rPr>
        <w:fldChar w:fldCharType="separate"/>
      </w:r>
      <w:r w:rsidRPr="00B05FA2">
        <w:rPr>
          <w:rFonts w:ascii="Times New Roman" w:hAnsi="Times New Roman" w:cs="Times New Roman"/>
          <w:noProof/>
          <w:sz w:val="28"/>
          <w:szCs w:val="28"/>
        </w:rPr>
        <w:t>[24]</w:t>
      </w:r>
      <w:r w:rsidRPr="00B05FA2">
        <w:rPr>
          <w:rFonts w:ascii="Times New Roman" w:hAnsi="Times New Roman" w:cs="Times New Roman"/>
          <w:sz w:val="28"/>
          <w:szCs w:val="28"/>
        </w:rPr>
        <w:fldChar w:fldCharType="end"/>
      </w:r>
      <w:r w:rsidRPr="00B05FA2">
        <w:rPr>
          <w:rFonts w:ascii="Times New Roman" w:hAnsi="Times New Roman" w:cs="Times New Roman"/>
          <w:sz w:val="28"/>
          <w:szCs w:val="28"/>
        </w:rPr>
        <w:t>.</w:t>
      </w:r>
    </w:p>
    <w:p w:rsidR="00E4425F" w:rsidRPr="00B05FA2" w:rsidRDefault="008E7ADA" w:rsidP="00E4425F">
      <w:pPr>
        <w:pStyle w:val="a4"/>
        <w:tabs>
          <w:tab w:val="left" w:pos="284"/>
          <w:tab w:val="left" w:pos="851"/>
        </w:tabs>
        <w:spacing w:after="0" w:line="240" w:lineRule="auto"/>
        <w:ind w:left="0" w:firstLine="567"/>
        <w:jc w:val="both"/>
        <w:rPr>
          <w:rFonts w:ascii="Times New Roman" w:hAnsi="Times New Roman" w:cs="Times New Roman"/>
          <w:sz w:val="28"/>
          <w:szCs w:val="28"/>
        </w:rPr>
      </w:pPr>
      <w:r w:rsidRPr="008E7ADA">
        <w:rPr>
          <w:rStyle w:val="fontstyle01"/>
        </w:rPr>
        <w:t>Принимая во внимание</w:t>
      </w:r>
      <w:r>
        <w:rPr>
          <w:rStyle w:val="fontstyle01"/>
        </w:rPr>
        <w:t xml:space="preserve"> </w:t>
      </w:r>
      <w:r w:rsidR="00E4425F" w:rsidRPr="00B05FA2">
        <w:rPr>
          <w:rStyle w:val="fontstyle01"/>
        </w:rPr>
        <w:t xml:space="preserve">вышеизложенные проблемы в терапии </w:t>
      </w:r>
      <w:r w:rsidR="00E4425F">
        <w:rPr>
          <w:rStyle w:val="fontstyle01"/>
        </w:rPr>
        <w:t>АР</w:t>
      </w:r>
      <w:r w:rsidR="00E4425F" w:rsidRPr="00B05FA2">
        <w:rPr>
          <w:rStyle w:val="fontstyle01"/>
        </w:rPr>
        <w:t xml:space="preserve"> назрела необходимость поиска путей по созданию оптимального протокола АСИТ, имеющего персонифицированный подход. Решение поставленной задачи благоприятно скажется на лечении данной категории больных и таким образом отразится на его качестве жизни.</w:t>
      </w:r>
    </w:p>
    <w:p w:rsidR="00E4425F" w:rsidRDefault="00E4425F" w:rsidP="00E4425F">
      <w:pPr>
        <w:tabs>
          <w:tab w:val="left" w:pos="284"/>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Рабочая гипотеза - </w:t>
      </w:r>
      <w:r>
        <w:rPr>
          <w:rFonts w:ascii="Times New Roman" w:hAnsi="Times New Roman" w:cs="Times New Roman"/>
          <w:sz w:val="28"/>
          <w:szCs w:val="28"/>
        </w:rPr>
        <w:t>включение холекальциферола в схему лечения аллерген-специфической иммунотерапии повышает эффективность терапии при сезонных аллергических заболеваниях, на примере аллергического ринита.</w:t>
      </w:r>
    </w:p>
    <w:p w:rsidR="00E4425F" w:rsidRPr="00B05FA2" w:rsidRDefault="00E4425F" w:rsidP="00E4425F">
      <w:pPr>
        <w:tabs>
          <w:tab w:val="left" w:pos="284"/>
          <w:tab w:val="left" w:pos="567"/>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b/>
          <w:sz w:val="28"/>
          <w:szCs w:val="28"/>
        </w:rPr>
        <w:t>Цель исследования</w:t>
      </w:r>
      <w:r>
        <w:rPr>
          <w:rFonts w:ascii="Times New Roman" w:hAnsi="Times New Roman" w:cs="Times New Roman"/>
          <w:b/>
          <w:sz w:val="28"/>
          <w:szCs w:val="28"/>
        </w:rPr>
        <w:t xml:space="preserve"> </w:t>
      </w:r>
      <w:r w:rsidRPr="00D209DB">
        <w:rPr>
          <w:rFonts w:ascii="Times New Roman" w:hAnsi="Times New Roman" w:cs="Times New Roman"/>
          <w:sz w:val="28"/>
          <w:szCs w:val="28"/>
        </w:rPr>
        <w:t>является оптимизация</w:t>
      </w:r>
      <w:r w:rsidRPr="00B05FA2">
        <w:rPr>
          <w:rFonts w:ascii="Times New Roman" w:hAnsi="Times New Roman" w:cs="Times New Roman"/>
          <w:sz w:val="28"/>
          <w:szCs w:val="28"/>
        </w:rPr>
        <w:t xml:space="preserve"> алгоритма аллерген-специфической иммунотерапии при сезонных аллергических заболеваниях, на примере аллергического ринита.</w:t>
      </w:r>
    </w:p>
    <w:p w:rsidR="00E4425F" w:rsidRPr="00B05FA2" w:rsidRDefault="00E4425F" w:rsidP="00E4425F">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rPr>
      </w:pPr>
      <w:r w:rsidRPr="00B05FA2">
        <w:rPr>
          <w:rFonts w:ascii="Times New Roman" w:hAnsi="Times New Roman" w:cs="Times New Roman"/>
          <w:b/>
          <w:sz w:val="28"/>
          <w:szCs w:val="28"/>
        </w:rPr>
        <w:t>Задачи исследования</w:t>
      </w:r>
    </w:p>
    <w:p w:rsidR="00E4425F" w:rsidRPr="00B05FA2" w:rsidRDefault="00E4425F" w:rsidP="00E4425F">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sidRPr="00B05FA2">
        <w:rPr>
          <w:rFonts w:ascii="Times New Roman" w:hAnsi="Times New Roman" w:cs="Times New Roman"/>
          <w:sz w:val="28"/>
          <w:szCs w:val="28"/>
        </w:rPr>
        <w:t>Провести систематический обзор исследований молекулярной аллергодиагностики при аллерген-специфической иммунотерапии.</w:t>
      </w:r>
    </w:p>
    <w:p w:rsidR="00E4425F" w:rsidRPr="009C0E3E" w:rsidRDefault="00E4425F" w:rsidP="00E4425F">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sidRPr="00B05FA2">
        <w:rPr>
          <w:rFonts w:ascii="Times New Roman" w:hAnsi="Times New Roman" w:cs="Times New Roman"/>
          <w:sz w:val="28"/>
          <w:szCs w:val="28"/>
        </w:rPr>
        <w:t xml:space="preserve">Изучить клинико-лабораторную </w:t>
      </w:r>
      <w:r w:rsidRPr="009C0E3E">
        <w:rPr>
          <w:rFonts w:ascii="Times New Roman" w:hAnsi="Times New Roman" w:cs="Times New Roman"/>
          <w:sz w:val="28"/>
          <w:szCs w:val="28"/>
        </w:rPr>
        <w:t>эффективность и безопасность разных режимов аллерген-специфической иммунотерапии на основании результатов рандомизированного клинического исследования.</w:t>
      </w:r>
    </w:p>
    <w:p w:rsidR="00E4425F" w:rsidRPr="00B05FA2" w:rsidRDefault="00E4425F" w:rsidP="00E4425F">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sidRPr="00B05FA2">
        <w:rPr>
          <w:rFonts w:ascii="Times New Roman" w:hAnsi="Times New Roman" w:cs="Times New Roman"/>
          <w:sz w:val="28"/>
          <w:szCs w:val="28"/>
        </w:rPr>
        <w:t xml:space="preserve">Определить прогностически значимые лабораторные маркеры эффективности аллерген-специфической иммунотерапии в комплексе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ом.</w:t>
      </w:r>
    </w:p>
    <w:p w:rsidR="00E4425F" w:rsidRPr="00B05FA2" w:rsidRDefault="00E4425F" w:rsidP="00E4425F">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sidRPr="00B05FA2">
        <w:rPr>
          <w:rFonts w:ascii="Times New Roman" w:hAnsi="Times New Roman" w:cs="Times New Roman"/>
          <w:sz w:val="28"/>
          <w:szCs w:val="28"/>
        </w:rPr>
        <w:t>Разработать клинико-диагностический алгоритм менеджмента больных с сезонными аллергическими заболеваниями, на примере аллергического ринита.</w:t>
      </w:r>
    </w:p>
    <w:bookmarkEnd w:id="0"/>
    <w:p w:rsidR="00E4425F" w:rsidRPr="00E4425F" w:rsidRDefault="00E4425F" w:rsidP="00E4425F">
      <w:pPr>
        <w:tabs>
          <w:tab w:val="left" w:pos="284"/>
          <w:tab w:val="left" w:pos="709"/>
          <w:tab w:val="left" w:pos="851"/>
        </w:tabs>
        <w:spacing w:after="0" w:line="240" w:lineRule="auto"/>
        <w:ind w:firstLine="567"/>
        <w:jc w:val="both"/>
        <w:rPr>
          <w:rFonts w:ascii="Times New Roman" w:hAnsi="Times New Roman" w:cs="Times New Roman"/>
          <w:b/>
          <w:sz w:val="28"/>
          <w:szCs w:val="28"/>
        </w:rPr>
      </w:pPr>
      <w:r w:rsidRPr="00E4425F">
        <w:rPr>
          <w:rFonts w:ascii="Times New Roman" w:hAnsi="Times New Roman" w:cs="Times New Roman"/>
          <w:b/>
          <w:sz w:val="28"/>
          <w:szCs w:val="28"/>
        </w:rPr>
        <w:t>Научная новизна</w:t>
      </w:r>
    </w:p>
    <w:p w:rsidR="00E4425F" w:rsidRPr="00E4425F" w:rsidRDefault="00E4425F" w:rsidP="00E4425F">
      <w:pPr>
        <w:tabs>
          <w:tab w:val="left" w:pos="284"/>
          <w:tab w:val="left" w:pos="709"/>
          <w:tab w:val="left" w:pos="851"/>
        </w:tabs>
        <w:spacing w:after="0" w:line="240" w:lineRule="auto"/>
        <w:ind w:firstLine="567"/>
        <w:jc w:val="both"/>
        <w:rPr>
          <w:rFonts w:ascii="Times New Roman" w:hAnsi="Times New Roman" w:cs="Times New Roman"/>
          <w:sz w:val="28"/>
          <w:szCs w:val="28"/>
        </w:rPr>
      </w:pPr>
      <w:r w:rsidRPr="00E4425F">
        <w:rPr>
          <w:rFonts w:ascii="Times New Roman" w:hAnsi="Times New Roman" w:cs="Times New Roman"/>
          <w:sz w:val="28"/>
          <w:szCs w:val="28"/>
        </w:rPr>
        <w:t>Впервые, проведён систематический обзор исследований за период с 2011 до 2021 года, где собраны данные, подтверждающие повышение эффективности АСИТ у пациентов с установленным причинно-значимым аллергеном с использованием молекулярной аллергодиагностики.</w:t>
      </w:r>
    </w:p>
    <w:p w:rsidR="00E4425F" w:rsidRPr="00E4425F" w:rsidRDefault="00E4425F" w:rsidP="00E4425F">
      <w:pPr>
        <w:tabs>
          <w:tab w:val="left" w:pos="284"/>
          <w:tab w:val="left" w:pos="709"/>
          <w:tab w:val="left" w:pos="851"/>
        </w:tabs>
        <w:spacing w:after="0" w:line="240" w:lineRule="auto"/>
        <w:ind w:firstLine="567"/>
        <w:jc w:val="both"/>
        <w:rPr>
          <w:rFonts w:ascii="Times New Roman" w:hAnsi="Times New Roman" w:cs="Times New Roman"/>
          <w:sz w:val="28"/>
          <w:szCs w:val="28"/>
        </w:rPr>
      </w:pPr>
      <w:r w:rsidRPr="00E4425F">
        <w:rPr>
          <w:rFonts w:ascii="Times New Roman" w:hAnsi="Times New Roman" w:cs="Times New Roman"/>
          <w:sz w:val="28"/>
          <w:szCs w:val="28"/>
        </w:rPr>
        <w:t xml:space="preserve">Проведена сравнительная комплексная оценка изменений клинических (общая оценка симптомов, оценка потребности в фармакотерапии, оценка </w:t>
      </w:r>
      <w:r w:rsidRPr="00E4425F">
        <w:rPr>
          <w:rFonts w:ascii="Times New Roman" w:hAnsi="Times New Roman" w:cs="Times New Roman"/>
          <w:sz w:val="28"/>
          <w:szCs w:val="28"/>
        </w:rPr>
        <w:lastRenderedPageBreak/>
        <w:t>качества жизни) и лабораторных (общий и специфический иммуноглобулин Е, эозинофильный катионный белок, 25-гидроксивитамина D в сыворотке крови) показателей при применении адаптированной схемы аллерген-специфической иммунотерапии в комплексе с холекальциферолом у больных с аллергическим ринитом до лечения, после лечения и в сезон пыления причинного аллергена (Авторское свидетельство № 14535 от 19.01.2021 года).</w:t>
      </w:r>
    </w:p>
    <w:p w:rsidR="00E4425F" w:rsidRPr="00E4425F" w:rsidRDefault="00E4425F" w:rsidP="00E4425F">
      <w:pPr>
        <w:tabs>
          <w:tab w:val="left" w:pos="284"/>
          <w:tab w:val="left" w:pos="709"/>
          <w:tab w:val="left" w:pos="851"/>
        </w:tabs>
        <w:spacing w:after="0" w:line="240" w:lineRule="auto"/>
        <w:ind w:firstLine="567"/>
        <w:jc w:val="both"/>
        <w:rPr>
          <w:rFonts w:ascii="Times New Roman" w:hAnsi="Times New Roman" w:cs="Times New Roman"/>
          <w:sz w:val="28"/>
          <w:szCs w:val="28"/>
        </w:rPr>
      </w:pPr>
      <w:r w:rsidRPr="00E4425F">
        <w:rPr>
          <w:rFonts w:ascii="Times New Roman" w:hAnsi="Times New Roman" w:cs="Times New Roman"/>
          <w:sz w:val="28"/>
          <w:szCs w:val="28"/>
        </w:rPr>
        <w:t>Проведено научное обоснование отимизации алгоритма аллерген-специфической иммунотерапии при аллергических ринитах с позиции комплексного подхода с учетом концентрации 25-гидроксивитамина D (Авторское свидетельство № 14750 от 29.01.2021 года; Авторское свидетельство № 14774 от 01.02.2021 года).</w:t>
      </w:r>
    </w:p>
    <w:p w:rsidR="00E4425F" w:rsidRPr="00E4425F" w:rsidRDefault="00E4425F" w:rsidP="00E4425F">
      <w:pPr>
        <w:tabs>
          <w:tab w:val="left" w:pos="284"/>
          <w:tab w:val="left" w:pos="709"/>
          <w:tab w:val="left" w:pos="851"/>
        </w:tabs>
        <w:spacing w:after="0" w:line="240" w:lineRule="auto"/>
        <w:ind w:firstLine="567"/>
        <w:jc w:val="both"/>
        <w:rPr>
          <w:rFonts w:ascii="Times New Roman" w:hAnsi="Times New Roman" w:cs="Times New Roman"/>
          <w:sz w:val="28"/>
          <w:szCs w:val="28"/>
        </w:rPr>
      </w:pPr>
      <w:r w:rsidRPr="00E4425F">
        <w:rPr>
          <w:rFonts w:ascii="Times New Roman" w:hAnsi="Times New Roman" w:cs="Times New Roman"/>
          <w:sz w:val="28"/>
          <w:szCs w:val="28"/>
        </w:rPr>
        <w:t>Получены результаты, доказывающие, что лабораторными маркерами эффективности аллерген-специфической иммунотерапии в комплексе с холекальциферолом с наибольшей прогностической значимостью, являются концентрации 25-гидроксивитамина D и общего иммуноглобулина Е в крови.</w:t>
      </w:r>
    </w:p>
    <w:p w:rsidR="00262BBD" w:rsidRPr="00E4425F" w:rsidRDefault="00E4425F" w:rsidP="00E4425F">
      <w:pPr>
        <w:tabs>
          <w:tab w:val="left" w:pos="284"/>
          <w:tab w:val="left" w:pos="709"/>
          <w:tab w:val="left" w:pos="851"/>
        </w:tabs>
        <w:spacing w:after="0" w:line="240" w:lineRule="auto"/>
        <w:ind w:firstLine="567"/>
        <w:jc w:val="both"/>
        <w:rPr>
          <w:rFonts w:ascii="Times New Roman" w:hAnsi="Times New Roman" w:cs="Times New Roman"/>
          <w:sz w:val="28"/>
          <w:szCs w:val="28"/>
        </w:rPr>
      </w:pPr>
      <w:r w:rsidRPr="00E4425F">
        <w:rPr>
          <w:rFonts w:ascii="Times New Roman" w:hAnsi="Times New Roman" w:cs="Times New Roman"/>
          <w:sz w:val="28"/>
          <w:szCs w:val="28"/>
        </w:rPr>
        <w:t>Впервые в РК исследовано качество жизни пациентов с аллергическим ринитом, получавших АСИТ в комплексе с холекальциферолом.</w:t>
      </w:r>
    </w:p>
    <w:p w:rsidR="00262BBD" w:rsidRDefault="00002324" w:rsidP="00B92AF7">
      <w:pPr>
        <w:tabs>
          <w:tab w:val="left" w:pos="284"/>
          <w:tab w:val="left" w:pos="709"/>
          <w:tab w:val="left" w:pos="851"/>
        </w:tabs>
        <w:spacing w:after="0" w:line="240" w:lineRule="auto"/>
        <w:ind w:firstLine="567"/>
        <w:jc w:val="both"/>
        <w:rPr>
          <w:rFonts w:ascii="Times New Roman" w:hAnsi="Times New Roman" w:cs="Times New Roman"/>
          <w:b/>
          <w:sz w:val="28"/>
          <w:szCs w:val="28"/>
        </w:rPr>
      </w:pPr>
      <w:bookmarkStart w:id="1" w:name="_GoBack"/>
      <w:r>
        <w:rPr>
          <w:rFonts w:ascii="Times New Roman" w:hAnsi="Times New Roman" w:cs="Times New Roman"/>
          <w:b/>
          <w:bCs/>
          <w:color w:val="000000"/>
          <w:sz w:val="28"/>
          <w:szCs w:val="28"/>
        </w:rPr>
        <w:t>Основные</w:t>
      </w:r>
      <w:r w:rsidR="005A010D">
        <w:rPr>
          <w:rFonts w:ascii="Times New Roman" w:hAnsi="Times New Roman" w:cs="Times New Roman"/>
          <w:b/>
          <w:bCs/>
          <w:color w:val="000000"/>
          <w:sz w:val="28"/>
          <w:szCs w:val="28"/>
        </w:rPr>
        <w:t xml:space="preserve"> положения, выносимые на защиту</w:t>
      </w:r>
    </w:p>
    <w:p w:rsidR="006E5D3D" w:rsidRPr="00B05FA2" w:rsidRDefault="006E5D3D" w:rsidP="00B92AF7">
      <w:pPr>
        <w:pStyle w:val="a4"/>
        <w:numPr>
          <w:ilvl w:val="0"/>
          <w:numId w:val="5"/>
        </w:numPr>
        <w:tabs>
          <w:tab w:val="left" w:pos="851"/>
        </w:tabs>
        <w:spacing w:after="0" w:line="240" w:lineRule="auto"/>
        <w:ind w:left="0" w:firstLine="567"/>
        <w:jc w:val="both"/>
        <w:rPr>
          <w:rFonts w:ascii="Times New Roman" w:hAnsi="Times New Roman"/>
          <w:sz w:val="28"/>
          <w:szCs w:val="28"/>
        </w:rPr>
      </w:pPr>
      <w:r w:rsidRPr="00B05FA2">
        <w:rPr>
          <w:rFonts w:ascii="Times New Roman" w:hAnsi="Times New Roman"/>
          <w:sz w:val="28"/>
          <w:szCs w:val="28"/>
        </w:rPr>
        <w:t xml:space="preserve">Молекулярная аллергодиагностика является высокоточным методом подбора </w:t>
      </w:r>
      <w:r w:rsidR="00B92AF7" w:rsidRPr="00B92AF7">
        <w:rPr>
          <w:rFonts w:ascii="Times New Roman" w:hAnsi="Times New Roman"/>
          <w:sz w:val="28"/>
          <w:szCs w:val="28"/>
        </w:rPr>
        <w:t>аллергенного профиля для проведения аллерген-специфической иммунотерапии, что позволяет выявить предикторы эффективности терапии</w:t>
      </w:r>
      <w:r w:rsidRPr="00B05FA2">
        <w:rPr>
          <w:rFonts w:ascii="Times New Roman" w:hAnsi="Times New Roman"/>
          <w:sz w:val="28"/>
          <w:szCs w:val="28"/>
        </w:rPr>
        <w:t>.</w:t>
      </w:r>
    </w:p>
    <w:p w:rsidR="006E5D3D" w:rsidRPr="00B05FA2" w:rsidRDefault="006E5D3D" w:rsidP="00B92AF7">
      <w:pPr>
        <w:pStyle w:val="a4"/>
        <w:numPr>
          <w:ilvl w:val="0"/>
          <w:numId w:val="5"/>
        </w:numPr>
        <w:tabs>
          <w:tab w:val="left" w:pos="851"/>
        </w:tabs>
        <w:spacing w:after="0" w:line="240" w:lineRule="auto"/>
        <w:ind w:left="0" w:firstLine="567"/>
        <w:jc w:val="both"/>
        <w:rPr>
          <w:rFonts w:ascii="Times New Roman" w:hAnsi="Times New Roman"/>
          <w:sz w:val="28"/>
          <w:szCs w:val="28"/>
        </w:rPr>
      </w:pPr>
      <w:r w:rsidRPr="00B05FA2">
        <w:rPr>
          <w:rFonts w:ascii="Times New Roman" w:hAnsi="Times New Roman"/>
          <w:sz w:val="28"/>
          <w:szCs w:val="28"/>
        </w:rPr>
        <w:t xml:space="preserve">АСИТ в комплексе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ом</w:t>
      </w:r>
      <w:r w:rsidRPr="00B05FA2">
        <w:rPr>
          <w:rFonts w:ascii="Times New Roman" w:hAnsi="Times New Roman"/>
          <w:sz w:val="28"/>
          <w:szCs w:val="28"/>
        </w:rPr>
        <w:t xml:space="preserve"> является более эффективной терапией по сравнению </w:t>
      </w:r>
      <w:r>
        <w:rPr>
          <w:rFonts w:ascii="Times New Roman" w:hAnsi="Times New Roman" w:cs="Times New Roman"/>
          <w:sz w:val="28"/>
          <w:szCs w:val="28"/>
        </w:rPr>
        <w:t xml:space="preserve">со стандартной </w:t>
      </w:r>
      <w:r w:rsidRPr="00B05FA2">
        <w:rPr>
          <w:rFonts w:ascii="Times New Roman" w:hAnsi="Times New Roman" w:cs="Times New Roman"/>
          <w:sz w:val="28"/>
          <w:szCs w:val="28"/>
        </w:rPr>
        <w:t>схемой АСИТ</w:t>
      </w:r>
      <w:r w:rsidRPr="00B05FA2">
        <w:rPr>
          <w:rFonts w:ascii="Times New Roman" w:hAnsi="Times New Roman"/>
          <w:sz w:val="28"/>
          <w:szCs w:val="28"/>
        </w:rPr>
        <w:t>, что подтверждено клинически (</w:t>
      </w:r>
      <w:r>
        <w:rPr>
          <w:rFonts w:ascii="Times New Roman" w:hAnsi="Times New Roman"/>
          <w:sz w:val="28"/>
          <w:szCs w:val="28"/>
        </w:rPr>
        <w:t>более</w:t>
      </w:r>
      <w:r w:rsidRPr="00B05FA2">
        <w:rPr>
          <w:rFonts w:ascii="Times New Roman" w:hAnsi="Times New Roman"/>
          <w:sz w:val="28"/>
          <w:szCs w:val="28"/>
        </w:rPr>
        <w:t xml:space="preserve"> низким баллом симптомов тяжести и высоком баллом качества жизни) и лабораторно (</w:t>
      </w:r>
      <w:r>
        <w:rPr>
          <w:rFonts w:ascii="Times New Roman" w:hAnsi="Times New Roman"/>
          <w:sz w:val="28"/>
          <w:szCs w:val="28"/>
        </w:rPr>
        <w:t>более</w:t>
      </w:r>
      <w:r w:rsidRPr="00B05FA2">
        <w:rPr>
          <w:rFonts w:ascii="Times New Roman" w:hAnsi="Times New Roman"/>
          <w:sz w:val="28"/>
          <w:szCs w:val="28"/>
        </w:rPr>
        <w:t xml:space="preserve"> низкими результатами общего и специфического </w:t>
      </w:r>
      <w:bookmarkEnd w:id="1"/>
      <w:r>
        <w:rPr>
          <w:rFonts w:ascii="Times New Roman" w:hAnsi="Times New Roman"/>
          <w:sz w:val="28"/>
          <w:szCs w:val="28"/>
        </w:rPr>
        <w:t xml:space="preserve">иммуноглобулина </w:t>
      </w:r>
      <w:r w:rsidRPr="00B05FA2">
        <w:rPr>
          <w:rFonts w:ascii="Times New Roman" w:hAnsi="Times New Roman"/>
          <w:sz w:val="28"/>
          <w:szCs w:val="28"/>
        </w:rPr>
        <w:t xml:space="preserve">Е, эозинофильного катионного белка и высокой концентрацией </w:t>
      </w:r>
      <w:r w:rsidRPr="00B05FA2">
        <w:rPr>
          <w:rFonts w:ascii="Times New Roman" w:hAnsi="Times New Roman" w:cs="Times New Roman"/>
          <w:sz w:val="28"/>
          <w:szCs w:val="28"/>
        </w:rPr>
        <w:t xml:space="preserve">25-гидроксивитамина D </w:t>
      </w:r>
      <w:r w:rsidRPr="00B05FA2">
        <w:rPr>
          <w:rFonts w:ascii="Times New Roman" w:hAnsi="Times New Roman"/>
          <w:sz w:val="28"/>
          <w:szCs w:val="28"/>
        </w:rPr>
        <w:t xml:space="preserve">в крови). </w:t>
      </w:r>
    </w:p>
    <w:p w:rsidR="006E5D3D" w:rsidRPr="00B05FA2" w:rsidRDefault="006E5D3D" w:rsidP="006E5D3D">
      <w:pPr>
        <w:pStyle w:val="a4"/>
        <w:numPr>
          <w:ilvl w:val="0"/>
          <w:numId w:val="5"/>
        </w:numPr>
        <w:tabs>
          <w:tab w:val="left" w:pos="851"/>
        </w:tabs>
        <w:spacing w:after="0" w:line="240" w:lineRule="auto"/>
        <w:ind w:left="0" w:firstLine="556"/>
        <w:jc w:val="both"/>
        <w:rPr>
          <w:rFonts w:ascii="Times New Roman" w:hAnsi="Times New Roman"/>
          <w:sz w:val="28"/>
          <w:szCs w:val="28"/>
        </w:rPr>
      </w:pPr>
      <w:r w:rsidRPr="00B05FA2">
        <w:rPr>
          <w:rFonts w:ascii="Times New Roman" w:hAnsi="Times New Roman"/>
          <w:sz w:val="28"/>
          <w:szCs w:val="28"/>
        </w:rPr>
        <w:t xml:space="preserve">Лабораторными маркерами эффективности аллерген-специфической иммунотерапии в комплексе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ом</w:t>
      </w:r>
      <w:r w:rsidRPr="00B05FA2">
        <w:rPr>
          <w:rFonts w:ascii="Times New Roman" w:hAnsi="Times New Roman"/>
          <w:sz w:val="28"/>
          <w:szCs w:val="28"/>
        </w:rPr>
        <w:t xml:space="preserve"> с наибольшей прогностической значимостью являются </w:t>
      </w:r>
      <w:r w:rsidRPr="00B05FA2">
        <w:rPr>
          <w:rFonts w:ascii="Times New Roman" w:hAnsi="Times New Roman" w:cs="Times New Roman"/>
          <w:sz w:val="28"/>
          <w:szCs w:val="28"/>
        </w:rPr>
        <w:t xml:space="preserve">концентрации 25-гидроксивитамина D и </w:t>
      </w:r>
      <w:r w:rsidRPr="00B05FA2">
        <w:rPr>
          <w:rFonts w:ascii="Times New Roman" w:hAnsi="Times New Roman"/>
          <w:sz w:val="28"/>
          <w:szCs w:val="28"/>
        </w:rPr>
        <w:t xml:space="preserve">общего </w:t>
      </w:r>
      <w:r>
        <w:rPr>
          <w:rFonts w:ascii="Times New Roman" w:hAnsi="Times New Roman"/>
          <w:sz w:val="28"/>
          <w:szCs w:val="28"/>
        </w:rPr>
        <w:t xml:space="preserve">иммуноглобулина </w:t>
      </w:r>
      <w:r w:rsidRPr="00B05FA2">
        <w:rPr>
          <w:rFonts w:ascii="Times New Roman" w:hAnsi="Times New Roman"/>
          <w:sz w:val="28"/>
          <w:szCs w:val="28"/>
        </w:rPr>
        <w:t>Е</w:t>
      </w:r>
      <w:r w:rsidRPr="00B05FA2">
        <w:rPr>
          <w:rFonts w:ascii="Times New Roman" w:hAnsi="Times New Roman" w:cs="Times New Roman"/>
          <w:sz w:val="28"/>
          <w:szCs w:val="28"/>
        </w:rPr>
        <w:t xml:space="preserve"> в крови</w:t>
      </w:r>
      <w:r w:rsidRPr="00B05FA2">
        <w:rPr>
          <w:rFonts w:ascii="Times New Roman" w:hAnsi="Times New Roman"/>
          <w:sz w:val="28"/>
          <w:szCs w:val="28"/>
        </w:rPr>
        <w:t>.</w:t>
      </w:r>
    </w:p>
    <w:p w:rsidR="006E5D3D" w:rsidRPr="00B05FA2" w:rsidRDefault="006E5D3D" w:rsidP="006E5D3D">
      <w:pPr>
        <w:pStyle w:val="a4"/>
        <w:numPr>
          <w:ilvl w:val="0"/>
          <w:numId w:val="5"/>
        </w:numPr>
        <w:tabs>
          <w:tab w:val="left" w:pos="851"/>
        </w:tabs>
        <w:spacing w:after="0" w:line="240" w:lineRule="auto"/>
        <w:ind w:left="0" w:firstLine="556"/>
        <w:jc w:val="both"/>
        <w:rPr>
          <w:rFonts w:ascii="Times New Roman" w:hAnsi="Times New Roman"/>
          <w:sz w:val="28"/>
          <w:szCs w:val="28"/>
        </w:rPr>
      </w:pPr>
      <w:r w:rsidRPr="00B05FA2">
        <w:rPr>
          <w:rFonts w:ascii="Times New Roman" w:hAnsi="Times New Roman"/>
          <w:sz w:val="28"/>
          <w:szCs w:val="28"/>
        </w:rPr>
        <w:t>Разработанный и предложенный клинико-диагностический алгоритм менеджмента аллергического ринита является эффективным инструментом, повышающим качество жизни и снижающим тяжесть симптомов у пациентов на практике.</w:t>
      </w:r>
    </w:p>
    <w:p w:rsidR="006E5D3D" w:rsidRPr="00B05FA2" w:rsidRDefault="006E5D3D" w:rsidP="006E5D3D">
      <w:pPr>
        <w:tabs>
          <w:tab w:val="left" w:pos="851"/>
        </w:tabs>
        <w:spacing w:after="0" w:line="240" w:lineRule="auto"/>
        <w:ind w:firstLine="567"/>
        <w:jc w:val="both"/>
        <w:rPr>
          <w:rFonts w:ascii="Times New Roman" w:hAnsi="Times New Roman"/>
          <w:b/>
          <w:sz w:val="28"/>
          <w:szCs w:val="28"/>
        </w:rPr>
      </w:pPr>
      <w:r w:rsidRPr="00B05FA2">
        <w:rPr>
          <w:rFonts w:ascii="Times New Roman" w:hAnsi="Times New Roman"/>
          <w:b/>
          <w:sz w:val="28"/>
          <w:szCs w:val="28"/>
        </w:rPr>
        <w:t>Теоретическая значимость</w:t>
      </w:r>
    </w:p>
    <w:p w:rsidR="006E5D3D" w:rsidRPr="00B05FA2" w:rsidRDefault="006E5D3D" w:rsidP="006E5D3D">
      <w:pPr>
        <w:tabs>
          <w:tab w:val="left" w:pos="851"/>
        </w:tabs>
        <w:spacing w:after="0" w:line="240" w:lineRule="auto"/>
        <w:ind w:firstLine="567"/>
        <w:jc w:val="both"/>
        <w:rPr>
          <w:rFonts w:ascii="Times New Roman" w:hAnsi="Times New Roman"/>
          <w:sz w:val="28"/>
          <w:szCs w:val="28"/>
        </w:rPr>
      </w:pPr>
      <w:r w:rsidRPr="00B05FA2">
        <w:rPr>
          <w:rFonts w:ascii="Times New Roman" w:hAnsi="Times New Roman"/>
          <w:sz w:val="28"/>
          <w:szCs w:val="28"/>
        </w:rPr>
        <w:t>Провед</w:t>
      </w:r>
      <w:r>
        <w:rPr>
          <w:rFonts w:ascii="Times New Roman" w:hAnsi="Times New Roman"/>
          <w:sz w:val="28"/>
          <w:szCs w:val="28"/>
        </w:rPr>
        <w:t>ё</w:t>
      </w:r>
      <w:r w:rsidRPr="00B05FA2">
        <w:rPr>
          <w:rFonts w:ascii="Times New Roman" w:hAnsi="Times New Roman"/>
          <w:sz w:val="28"/>
          <w:szCs w:val="28"/>
        </w:rPr>
        <w:t>нные в диссертационной работе исследования расширяют имеющиеся представления о диагностике и лечении аллергического ринита для врачей аллергологов-иммунологов;</w:t>
      </w:r>
    </w:p>
    <w:p w:rsidR="006E5D3D" w:rsidRPr="00B05FA2" w:rsidRDefault="006E5D3D" w:rsidP="006E5D3D">
      <w:pPr>
        <w:tabs>
          <w:tab w:val="left" w:pos="851"/>
        </w:tabs>
        <w:spacing w:after="0" w:line="240" w:lineRule="auto"/>
        <w:ind w:firstLine="567"/>
        <w:jc w:val="both"/>
        <w:rPr>
          <w:rFonts w:ascii="Times New Roman" w:hAnsi="Times New Roman"/>
          <w:sz w:val="28"/>
          <w:szCs w:val="28"/>
        </w:rPr>
      </w:pPr>
      <w:r w:rsidRPr="00B05FA2">
        <w:rPr>
          <w:rFonts w:ascii="Times New Roman" w:hAnsi="Times New Roman"/>
          <w:sz w:val="28"/>
          <w:szCs w:val="28"/>
        </w:rPr>
        <w:t xml:space="preserve">По результатам диссертационного исследования разработаны методические рекомендации для врачей аллергологов-иммунологов «Оценка состояния пациентов с сезонным аллергическим ринитом на фоне проведения аллерген-специфической иммунотерапии», которые расширяют теоретические знания практикующих врачей и конвертируются в практическую деятельность врачей аллергологов-иммунологов на </w:t>
      </w:r>
      <w:r w:rsidRPr="00B05FA2">
        <w:rPr>
          <w:rFonts w:ascii="Times New Roman" w:hAnsi="Times New Roman"/>
          <w:sz w:val="28"/>
          <w:szCs w:val="28"/>
        </w:rPr>
        <w:lastRenderedPageBreak/>
        <w:t>амбулаторном уровне (акты внедрения в КГП «Поликлиника №1 города Караганды», КГП «Поликлиника №3 города Караганды», КГП «Поликлиника №4 города Караганды», КГП «Поликлиника №5 города Караганды») (Приложение А, Б);</w:t>
      </w:r>
    </w:p>
    <w:p w:rsidR="006E5D3D" w:rsidRPr="00B05FA2" w:rsidRDefault="006E5D3D" w:rsidP="006E5D3D">
      <w:pPr>
        <w:tabs>
          <w:tab w:val="left" w:pos="851"/>
        </w:tabs>
        <w:spacing w:after="0" w:line="240" w:lineRule="auto"/>
        <w:ind w:firstLine="567"/>
        <w:jc w:val="both"/>
        <w:rPr>
          <w:rFonts w:ascii="Times New Roman" w:hAnsi="Times New Roman"/>
          <w:sz w:val="28"/>
          <w:szCs w:val="28"/>
        </w:rPr>
      </w:pPr>
      <w:r w:rsidRPr="00B05FA2">
        <w:rPr>
          <w:rFonts w:ascii="Times New Roman" w:hAnsi="Times New Roman"/>
          <w:sz w:val="28"/>
          <w:szCs w:val="28"/>
        </w:rPr>
        <w:t>Методические рекомендации «Оценка состояния пациентов с сезонным аллергическим ринитом на фоне проведения аллерген-специфической иммунотерапии» включены в программы обучения интернов, резидентов, врачей аллергологов-иммунологов на кафедре внутренних болезней НАО «МУК»</w:t>
      </w:r>
      <w:r>
        <w:rPr>
          <w:rFonts w:ascii="Times New Roman" w:hAnsi="Times New Roman"/>
          <w:sz w:val="28"/>
          <w:szCs w:val="28"/>
        </w:rPr>
        <w:t xml:space="preserve">, утверждены </w:t>
      </w:r>
      <w:r w:rsidRPr="00174728">
        <w:rPr>
          <w:rFonts w:ascii="Times New Roman" w:hAnsi="Times New Roman"/>
          <w:sz w:val="28"/>
          <w:szCs w:val="28"/>
        </w:rPr>
        <w:t xml:space="preserve">на сенате НАО </w:t>
      </w:r>
      <w:r>
        <w:rPr>
          <w:rFonts w:ascii="Times New Roman" w:hAnsi="Times New Roman"/>
          <w:sz w:val="28"/>
          <w:szCs w:val="28"/>
        </w:rPr>
        <w:t>«</w:t>
      </w:r>
      <w:r w:rsidRPr="00174728">
        <w:rPr>
          <w:rFonts w:ascii="Times New Roman" w:hAnsi="Times New Roman"/>
          <w:sz w:val="28"/>
          <w:szCs w:val="28"/>
        </w:rPr>
        <w:t>МУК</w:t>
      </w:r>
      <w:r>
        <w:rPr>
          <w:rFonts w:ascii="Times New Roman" w:hAnsi="Times New Roman"/>
          <w:sz w:val="28"/>
          <w:szCs w:val="28"/>
        </w:rPr>
        <w:t>»</w:t>
      </w:r>
      <w:r w:rsidRPr="00174728">
        <w:rPr>
          <w:rFonts w:ascii="Times New Roman" w:hAnsi="Times New Roman"/>
          <w:sz w:val="28"/>
          <w:szCs w:val="28"/>
        </w:rPr>
        <w:t xml:space="preserve"> 27.08.2020 года </w:t>
      </w:r>
      <w:r>
        <w:rPr>
          <w:rFonts w:ascii="Times New Roman" w:hAnsi="Times New Roman"/>
          <w:sz w:val="28"/>
          <w:szCs w:val="28"/>
        </w:rPr>
        <w:t>Протокол №1</w:t>
      </w:r>
      <w:r w:rsidRPr="00B05FA2">
        <w:rPr>
          <w:rFonts w:ascii="Times New Roman" w:hAnsi="Times New Roman"/>
          <w:sz w:val="28"/>
          <w:szCs w:val="28"/>
        </w:rPr>
        <w:t xml:space="preserve"> (Приложение А, Б).</w:t>
      </w:r>
    </w:p>
    <w:p w:rsidR="006E5D3D" w:rsidRPr="00B05FA2" w:rsidRDefault="006E5D3D" w:rsidP="006E5D3D">
      <w:pPr>
        <w:tabs>
          <w:tab w:val="left" w:pos="284"/>
          <w:tab w:val="left" w:pos="709"/>
          <w:tab w:val="left" w:pos="851"/>
        </w:tabs>
        <w:spacing w:after="0" w:line="240" w:lineRule="auto"/>
        <w:ind w:firstLine="567"/>
        <w:jc w:val="both"/>
        <w:rPr>
          <w:rFonts w:ascii="Times New Roman" w:hAnsi="Times New Roman" w:cs="Times New Roman"/>
          <w:b/>
          <w:sz w:val="28"/>
          <w:szCs w:val="28"/>
        </w:rPr>
      </w:pPr>
      <w:r w:rsidRPr="00B05FA2">
        <w:rPr>
          <w:rFonts w:ascii="Times New Roman" w:hAnsi="Times New Roman" w:cs="Times New Roman"/>
          <w:b/>
          <w:sz w:val="28"/>
          <w:szCs w:val="28"/>
        </w:rPr>
        <w:t xml:space="preserve">Практическая значимость </w:t>
      </w:r>
    </w:p>
    <w:p w:rsidR="006E5D3D" w:rsidRPr="00B05FA2" w:rsidRDefault="006E5D3D" w:rsidP="006E5D3D">
      <w:pPr>
        <w:tabs>
          <w:tab w:val="left" w:pos="284"/>
          <w:tab w:val="left" w:pos="709"/>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Разработан эффективный инструмент оценки тяжести симптомов и качества жизни у пациентов с аллергическими ринитами для врачей аллергологов-иммунологов и внедрён в деятельность медицинских организаций (акты внедрения КГП «Поликлиника №1 города Караганды», КГП «Поликлиника №5 города Караганды») (Приложение В);</w:t>
      </w:r>
    </w:p>
    <w:p w:rsidR="006E5D3D" w:rsidRPr="00B05FA2" w:rsidRDefault="006E5D3D" w:rsidP="006E5D3D">
      <w:pPr>
        <w:tabs>
          <w:tab w:val="left" w:pos="284"/>
          <w:tab w:val="left" w:pos="709"/>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 xml:space="preserve">Разработана схема аллерген-специфической иммунотерапии в комплексе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 xml:space="preserve">ом при </w:t>
      </w:r>
      <w:r>
        <w:rPr>
          <w:rFonts w:ascii="Times New Roman" w:hAnsi="Times New Roman" w:cs="Times New Roman"/>
          <w:sz w:val="28"/>
          <w:szCs w:val="28"/>
        </w:rPr>
        <w:t xml:space="preserve"> </w:t>
      </w:r>
      <w:r w:rsidRPr="00B05FA2">
        <w:rPr>
          <w:rFonts w:ascii="Times New Roman" w:hAnsi="Times New Roman" w:cs="Times New Roman"/>
          <w:sz w:val="28"/>
          <w:szCs w:val="28"/>
        </w:rPr>
        <w:t>аллергических ринитах и внедрена для врачей аллергологов-иммунологов (акты внедрения акты внедрения КГП «Поликлиника №1 города Караганды», КГП «Поликлиника №5 города Караганды») (Приложение В);</w:t>
      </w:r>
    </w:p>
    <w:p w:rsidR="006E5D3D" w:rsidRPr="00B05FA2" w:rsidRDefault="006E5D3D" w:rsidP="006E5D3D">
      <w:pPr>
        <w:tabs>
          <w:tab w:val="left" w:pos="284"/>
          <w:tab w:val="left" w:pos="709"/>
          <w:tab w:val="left" w:pos="851"/>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Разработан алгоритм менеджмента аллергического ринита у амбулаторных пациентов для врачей аллергологов-иммунологов и внедрён в деятельность медицинских организаций (акты внедрения КГП «Поликлиника №1 города Караганды», КГП «Поликлиника №5 города Караганды») (Приложение В).</w:t>
      </w:r>
    </w:p>
    <w:p w:rsidR="00262BBD" w:rsidRDefault="00002324">
      <w:pPr>
        <w:tabs>
          <w:tab w:val="left" w:pos="142"/>
          <w:tab w:val="left" w:pos="426"/>
          <w:tab w:val="left" w:pos="709"/>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t>Личный вклад автора</w:t>
      </w:r>
    </w:p>
    <w:p w:rsidR="00262BBD" w:rsidRDefault="00002324">
      <w:pPr>
        <w:pStyle w:val="a4"/>
        <w:tabs>
          <w:tab w:val="left" w:pos="142"/>
          <w:tab w:val="left" w:pos="426"/>
          <w:tab w:val="left" w:pos="709"/>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Исследование проведено самостоятельно: набор, первичная и статистическая обработка материалов, анализ, обобщение результатов исследования и их описание, написаны все главы диссертационной работы, участие в конференциях, получение авторских свидетельств, актов внедрения, а также работа с публикациями от написания материала до подачи в научные журналы.</w:t>
      </w:r>
    </w:p>
    <w:p w:rsidR="00262BBD" w:rsidRDefault="00002324">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Апробация работы </w:t>
      </w:r>
    </w:p>
    <w:p w:rsidR="00262BBD" w:rsidRDefault="00002324">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Основные положения диссертации доложены и обсуждены: 62 научно-практической студенческой конференция с международным участием «Студенческая наука и здоровье», НАО «Медицинский университет Семей» (15 мая 2020, Семей); 8</w:t>
      </w:r>
      <w:r>
        <w:rPr>
          <w:rFonts w:ascii="Times New Roman" w:hAnsi="Times New Roman" w:cs="Times New Roman"/>
          <w:sz w:val="28"/>
          <w:szCs w:val="28"/>
          <w:lang w:val="en-US"/>
        </w:rPr>
        <w:t>th</w:t>
      </w:r>
      <w:r>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Pr>
          <w:rFonts w:ascii="Times New Roman" w:hAnsi="Times New Roman" w:cs="Times New Roman"/>
          <w:sz w:val="28"/>
          <w:szCs w:val="28"/>
        </w:rPr>
        <w:t xml:space="preserve"> </w:t>
      </w:r>
      <w:r>
        <w:rPr>
          <w:rFonts w:ascii="Times New Roman" w:hAnsi="Times New Roman" w:cs="Times New Roman"/>
          <w:sz w:val="28"/>
          <w:szCs w:val="28"/>
          <w:lang w:val="en-US"/>
        </w:rPr>
        <w:t>Conference</w:t>
      </w:r>
      <w:r>
        <w:rPr>
          <w:rFonts w:ascii="Times New Roman" w:hAnsi="Times New Roman" w:cs="Times New Roman"/>
          <w:sz w:val="28"/>
          <w:szCs w:val="28"/>
        </w:rPr>
        <w:t xml:space="preserve"> </w:t>
      </w:r>
      <w:r>
        <w:rPr>
          <w:rFonts w:ascii="Times New Roman" w:hAnsi="Times New Roman" w:cs="Times New Roman"/>
          <w:sz w:val="28"/>
          <w:szCs w:val="28"/>
          <w:lang w:val="en-US"/>
        </w:rPr>
        <w:t>on</w:t>
      </w:r>
      <w:r>
        <w:rPr>
          <w:rFonts w:ascii="Times New Roman" w:hAnsi="Times New Roman" w:cs="Times New Roman"/>
          <w:sz w:val="28"/>
          <w:szCs w:val="28"/>
        </w:rPr>
        <w:t xml:space="preserve"> </w:t>
      </w:r>
      <w:r>
        <w:rPr>
          <w:rFonts w:ascii="Times New Roman" w:hAnsi="Times New Roman" w:cs="Times New Roman"/>
          <w:sz w:val="28"/>
          <w:szCs w:val="28"/>
          <w:lang w:val="en-US"/>
        </w:rPr>
        <w:t>Research</w:t>
      </w:r>
      <w:r>
        <w:rPr>
          <w:rFonts w:ascii="Times New Roman" w:hAnsi="Times New Roman" w:cs="Times New Roman"/>
          <w:sz w:val="28"/>
          <w:szCs w:val="28"/>
        </w:rPr>
        <w:t xml:space="preserve"> </w:t>
      </w:r>
      <w:r>
        <w:rPr>
          <w:rFonts w:ascii="Times New Roman" w:hAnsi="Times New Roman" w:cs="Times New Roman"/>
          <w:sz w:val="28"/>
          <w:szCs w:val="28"/>
          <w:lang w:val="en-US"/>
        </w:rPr>
        <w:t>in</w:t>
      </w:r>
      <w:r>
        <w:rPr>
          <w:rFonts w:ascii="Times New Roman" w:hAnsi="Times New Roman" w:cs="Times New Roman"/>
          <w:sz w:val="28"/>
          <w:szCs w:val="28"/>
        </w:rPr>
        <w:t xml:space="preserve"> </w:t>
      </w:r>
      <w:r>
        <w:rPr>
          <w:rFonts w:ascii="Times New Roman" w:hAnsi="Times New Roman" w:cs="Times New Roman"/>
          <w:sz w:val="28"/>
          <w:szCs w:val="28"/>
          <w:lang w:val="en-US"/>
        </w:rPr>
        <w:t>Life</w:t>
      </w:r>
      <w:r>
        <w:rPr>
          <w:rFonts w:ascii="Times New Roman" w:hAnsi="Times New Roman" w:cs="Times New Roman"/>
          <w:sz w:val="28"/>
          <w:szCs w:val="28"/>
        </w:rPr>
        <w:t>-</w:t>
      </w:r>
      <w:r>
        <w:rPr>
          <w:rFonts w:ascii="Times New Roman" w:hAnsi="Times New Roman" w:cs="Times New Roman"/>
          <w:sz w:val="28"/>
          <w:szCs w:val="28"/>
          <w:lang w:val="en-US"/>
        </w:rPr>
        <w:t>Sciences</w:t>
      </w:r>
      <w:r>
        <w:rPr>
          <w:rFonts w:ascii="Times New Roman" w:hAnsi="Times New Roman" w:cs="Times New Roman"/>
          <w:sz w:val="28"/>
          <w:szCs w:val="28"/>
        </w:rPr>
        <w:t xml:space="preserve"> &amp; </w:t>
      </w:r>
      <w:r>
        <w:rPr>
          <w:rFonts w:ascii="Times New Roman" w:hAnsi="Times New Roman" w:cs="Times New Roman"/>
          <w:sz w:val="28"/>
          <w:szCs w:val="28"/>
          <w:lang w:val="en-US"/>
        </w:rPr>
        <w:t>Healthcare</w:t>
      </w:r>
      <w:r>
        <w:rPr>
          <w:rFonts w:ascii="Times New Roman" w:hAnsi="Times New Roman" w:cs="Times New Roman"/>
          <w:sz w:val="28"/>
          <w:szCs w:val="28"/>
        </w:rPr>
        <w:t xml:space="preserve"> (</w:t>
      </w:r>
      <w:r>
        <w:rPr>
          <w:rFonts w:ascii="Times New Roman" w:hAnsi="Times New Roman" w:cs="Times New Roman"/>
          <w:sz w:val="28"/>
          <w:szCs w:val="28"/>
          <w:lang w:val="en-US"/>
        </w:rPr>
        <w:t>ICRLSH</w:t>
      </w:r>
      <w:r>
        <w:rPr>
          <w:rFonts w:ascii="Times New Roman" w:hAnsi="Times New Roman" w:cs="Times New Roman"/>
          <w:sz w:val="28"/>
          <w:szCs w:val="28"/>
        </w:rPr>
        <w:t xml:space="preserve">) (26-27 </w:t>
      </w:r>
      <w:r>
        <w:rPr>
          <w:rFonts w:ascii="Times New Roman" w:hAnsi="Times New Roman" w:cs="Times New Roman"/>
          <w:sz w:val="28"/>
          <w:szCs w:val="28"/>
          <w:lang w:val="en-US"/>
        </w:rPr>
        <w:t>June</w:t>
      </w:r>
      <w:r>
        <w:rPr>
          <w:rFonts w:ascii="Times New Roman" w:hAnsi="Times New Roman" w:cs="Times New Roman"/>
          <w:sz w:val="28"/>
          <w:szCs w:val="28"/>
        </w:rPr>
        <w:t xml:space="preserve"> 2021, </w:t>
      </w:r>
      <w:r>
        <w:rPr>
          <w:rFonts w:ascii="Times New Roman" w:hAnsi="Times New Roman" w:cs="Times New Roman"/>
          <w:sz w:val="28"/>
          <w:szCs w:val="28"/>
          <w:lang w:val="en-US"/>
        </w:rPr>
        <w:t>Singapore</w:t>
      </w:r>
      <w:r>
        <w:rPr>
          <w:rFonts w:ascii="Times New Roman" w:hAnsi="Times New Roman" w:cs="Times New Roman"/>
          <w:sz w:val="28"/>
          <w:szCs w:val="28"/>
        </w:rPr>
        <w:t>); расширенном заседании кафедры внутренних болезней НАО «Медицинский университет Караганды».</w:t>
      </w:r>
    </w:p>
    <w:p w:rsidR="00262BBD" w:rsidRDefault="00002324">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Публикации </w:t>
      </w:r>
    </w:p>
    <w:p w:rsidR="00262BBD" w:rsidRDefault="00002324">
      <w:pPr>
        <w:tabs>
          <w:tab w:val="left" w:pos="851"/>
        </w:tabs>
        <w:spacing w:after="0" w:line="240" w:lineRule="auto"/>
        <w:ind w:firstLine="567"/>
        <w:jc w:val="both"/>
        <w:rPr>
          <w:rFonts w:ascii="Times New Roman" w:hAnsi="Times New Roman"/>
          <w:sz w:val="28"/>
          <w:szCs w:val="28"/>
          <w:lang w:val="kk-KZ"/>
        </w:rPr>
      </w:pPr>
      <w:r>
        <w:rPr>
          <w:rStyle w:val="fontstyle01"/>
        </w:rPr>
        <w:t xml:space="preserve">По материалам диссертации опубликовано 14 научных работ, из них: 4 публикации в научных изданиях, рекомендованных Комитетом по контролю в сфере образования и науки МОН РК; </w:t>
      </w:r>
      <w:r>
        <w:rPr>
          <w:rStyle w:val="fontstyle21"/>
          <w:rFonts w:ascii="Times New Roman" w:hAnsi="Times New Roman"/>
          <w:sz w:val="28"/>
          <w:szCs w:val="28"/>
        </w:rPr>
        <w:t xml:space="preserve">2 публикации в международных научных изданиях, входящих на момент публикации статей в информационную базу </w:t>
      </w:r>
      <w:r>
        <w:rPr>
          <w:rStyle w:val="fontstyle21"/>
          <w:rFonts w:ascii="Times New Roman" w:hAnsi="Times New Roman"/>
          <w:sz w:val="28"/>
          <w:szCs w:val="28"/>
        </w:rPr>
        <w:lastRenderedPageBreak/>
        <w:t>Scopus ( журналы «</w:t>
      </w:r>
      <w:r>
        <w:rPr>
          <w:rStyle w:val="fontstyle21"/>
          <w:rFonts w:ascii="Times New Roman" w:hAnsi="Times New Roman"/>
          <w:sz w:val="28"/>
          <w:szCs w:val="28"/>
          <w:lang w:val="en-US"/>
        </w:rPr>
        <w:t>Cells</w:t>
      </w:r>
      <w:r>
        <w:rPr>
          <w:rStyle w:val="fontstyle21"/>
          <w:rFonts w:ascii="Times New Roman" w:hAnsi="Times New Roman"/>
          <w:sz w:val="28"/>
          <w:szCs w:val="28"/>
        </w:rPr>
        <w:t>» и  «</w:t>
      </w:r>
      <w:r>
        <w:rPr>
          <w:rStyle w:val="fontstyle21"/>
          <w:rFonts w:ascii="Times New Roman" w:hAnsi="Times New Roman"/>
          <w:sz w:val="28"/>
          <w:szCs w:val="28"/>
          <w:lang w:val="kk-KZ"/>
        </w:rPr>
        <w:t>Russian Open Medical Journal»)</w:t>
      </w:r>
      <w:r>
        <w:rPr>
          <w:rStyle w:val="fontstyle01"/>
        </w:rPr>
        <w:t xml:space="preserve">; 1 публикация </w:t>
      </w:r>
      <w:r>
        <w:rPr>
          <w:rStyle w:val="fontstyle21"/>
          <w:rFonts w:ascii="Times New Roman" w:hAnsi="Times New Roman" w:cs="Times New Roman"/>
          <w:sz w:val="28"/>
          <w:szCs w:val="28"/>
        </w:rPr>
        <w:t>в международных научных изданиях, индексируемых в РИНЦ и входящих</w:t>
      </w:r>
      <w:r>
        <w:t xml:space="preserve"> </w:t>
      </w:r>
      <w:r>
        <w:rPr>
          <w:rStyle w:val="fontstyle21"/>
          <w:rFonts w:ascii="Times New Roman" w:hAnsi="Times New Roman" w:cs="Times New Roman"/>
          <w:sz w:val="28"/>
          <w:szCs w:val="28"/>
        </w:rPr>
        <w:t xml:space="preserve">в перечень BAK; </w:t>
      </w:r>
      <w:r>
        <w:rPr>
          <w:rStyle w:val="fontstyle01"/>
        </w:rPr>
        <w:t>3 публикации в материалах международных конференций; 3 свидетельства о внесении сведений в государственный реестр прав на объекты, охраняемые авторским правом</w:t>
      </w:r>
      <w:r>
        <w:rPr>
          <w:rFonts w:ascii="Times New Roman" w:hAnsi="Times New Roman" w:cs="Times New Roman"/>
          <w:sz w:val="28"/>
          <w:szCs w:val="28"/>
          <w:lang w:val="kk-KZ"/>
        </w:rPr>
        <w:t>; Разработаны методические рекомендации для врачей: Измайлович М. Р., Газалиева</w:t>
      </w:r>
      <w:r>
        <w:rPr>
          <w:rFonts w:ascii="Times New Roman" w:hAnsi="Times New Roman"/>
          <w:sz w:val="28"/>
          <w:szCs w:val="28"/>
          <w:lang w:val="kk-KZ"/>
        </w:rPr>
        <w:t xml:space="preserve"> М. А., Глушкова Н. Е. «Оценка состояния пациентов с сезонным аллергическим ринитом на фоне проведения аллерген-специфической иммунотерапии». </w:t>
      </w:r>
    </w:p>
    <w:p w:rsidR="00262BBD" w:rsidRDefault="00002324">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Структура и объем диссертации </w:t>
      </w:r>
    </w:p>
    <w:p w:rsidR="006E5D3D" w:rsidRPr="00B05FA2" w:rsidRDefault="006E5D3D" w:rsidP="006E5D3D">
      <w:pPr>
        <w:tabs>
          <w:tab w:val="left" w:pos="851"/>
        </w:tabs>
        <w:spacing w:after="0" w:line="240" w:lineRule="auto"/>
        <w:ind w:firstLine="567"/>
        <w:jc w:val="both"/>
        <w:rPr>
          <w:rFonts w:ascii="Times New Roman" w:hAnsi="Times New Roman"/>
          <w:sz w:val="28"/>
          <w:szCs w:val="28"/>
        </w:rPr>
      </w:pPr>
      <w:r w:rsidRPr="00B05FA2">
        <w:rPr>
          <w:rFonts w:ascii="Times New Roman" w:hAnsi="Times New Roman"/>
          <w:sz w:val="28"/>
          <w:szCs w:val="28"/>
        </w:rPr>
        <w:t xml:space="preserve">Диссертация изложена </w:t>
      </w:r>
      <w:r w:rsidRPr="00ED68D6">
        <w:rPr>
          <w:rFonts w:ascii="Times New Roman" w:hAnsi="Times New Roman"/>
          <w:sz w:val="28"/>
          <w:szCs w:val="28"/>
        </w:rPr>
        <w:t>на 89 страницах машинописного текста, содержит 19 таблиц и 10 рисунков. Дисс</w:t>
      </w:r>
      <w:r w:rsidRPr="00B05FA2">
        <w:rPr>
          <w:rFonts w:ascii="Times New Roman" w:hAnsi="Times New Roman"/>
          <w:sz w:val="28"/>
          <w:szCs w:val="28"/>
        </w:rPr>
        <w:t xml:space="preserve">ертация включает в себя следующие разделы: введение, обзор литературы, материалы и методы, результаты собственных исследований, обсуждение результатов, заключение, список литературы, приложения. Библиография </w:t>
      </w:r>
      <w:r w:rsidRPr="00ED68D6">
        <w:rPr>
          <w:rFonts w:ascii="Times New Roman" w:hAnsi="Times New Roman"/>
          <w:sz w:val="28"/>
          <w:szCs w:val="28"/>
        </w:rPr>
        <w:t>включает 197 источников</w:t>
      </w:r>
      <w:r w:rsidRPr="00B05FA2">
        <w:rPr>
          <w:rFonts w:ascii="Times New Roman" w:hAnsi="Times New Roman"/>
          <w:sz w:val="28"/>
          <w:szCs w:val="28"/>
        </w:rPr>
        <w:t xml:space="preserve"> </w:t>
      </w:r>
      <w:r w:rsidRPr="00B05FA2">
        <w:rPr>
          <w:rStyle w:val="fontstyle01"/>
        </w:rPr>
        <w:t>на русском и английском языках.</w:t>
      </w:r>
    </w:p>
    <w:p w:rsidR="00262BBD" w:rsidRPr="00E378EC" w:rsidRDefault="00002324">
      <w:pPr>
        <w:tabs>
          <w:tab w:val="left" w:pos="284"/>
          <w:tab w:val="left" w:pos="709"/>
          <w:tab w:val="left" w:pos="851"/>
        </w:tabs>
        <w:spacing w:after="0" w:line="240" w:lineRule="auto"/>
        <w:ind w:firstLine="567"/>
        <w:jc w:val="both"/>
        <w:rPr>
          <w:rFonts w:ascii="Times New Roman" w:hAnsi="Times New Roman" w:cs="Times New Roman"/>
          <w:b/>
          <w:sz w:val="28"/>
          <w:szCs w:val="28"/>
        </w:rPr>
      </w:pPr>
      <w:r w:rsidRPr="00E378EC">
        <w:rPr>
          <w:rFonts w:ascii="Times New Roman" w:hAnsi="Times New Roman" w:cs="Times New Roman"/>
          <w:b/>
          <w:sz w:val="28"/>
          <w:szCs w:val="28"/>
        </w:rPr>
        <w:t>Дизайн и методы исследования</w:t>
      </w:r>
    </w:p>
    <w:p w:rsidR="00BE240D" w:rsidRDefault="00353B31" w:rsidP="007E4B2C">
      <w:pPr>
        <w:spacing w:after="0" w:line="240" w:lineRule="auto"/>
        <w:ind w:firstLine="567"/>
        <w:jc w:val="both"/>
        <w:rPr>
          <w:rFonts w:ascii="Times New Roman" w:hAnsi="Times New Roman" w:cs="Times New Roman"/>
          <w:sz w:val="28"/>
          <w:szCs w:val="28"/>
        </w:rPr>
      </w:pPr>
      <w:r w:rsidRPr="006F0CC3">
        <w:rPr>
          <w:rFonts w:ascii="Times New Roman" w:hAnsi="Times New Roman" w:cs="Times New Roman"/>
          <w:sz w:val="28"/>
          <w:szCs w:val="28"/>
        </w:rPr>
        <w:t xml:space="preserve">Исследование проводилось в амбулаторных условиях на базе Областного </w:t>
      </w:r>
      <w:r w:rsidRPr="00D22881">
        <w:rPr>
          <w:rFonts w:ascii="Times New Roman" w:hAnsi="Times New Roman" w:cs="Times New Roman"/>
          <w:sz w:val="28"/>
          <w:szCs w:val="28"/>
        </w:rPr>
        <w:t>Аллергологического Центра «Divera» в городе Караганда с июня 2020 года по сентябрь 2023 года.</w:t>
      </w:r>
      <w:r w:rsidR="00BE240D">
        <w:rPr>
          <w:rFonts w:ascii="Times New Roman" w:hAnsi="Times New Roman" w:cs="Times New Roman"/>
          <w:sz w:val="28"/>
          <w:szCs w:val="28"/>
        </w:rPr>
        <w:t xml:space="preserve"> </w:t>
      </w:r>
    </w:p>
    <w:p w:rsidR="00353B31" w:rsidRPr="00B05FA2" w:rsidRDefault="00353B31" w:rsidP="00353B31">
      <w:pPr>
        <w:spacing w:after="0" w:line="240" w:lineRule="auto"/>
        <w:ind w:firstLine="567"/>
        <w:jc w:val="both"/>
        <w:rPr>
          <w:rFonts w:ascii="Times New Roman" w:hAnsi="Times New Roman" w:cs="Times New Roman"/>
          <w:sz w:val="28"/>
          <w:szCs w:val="28"/>
        </w:rPr>
      </w:pPr>
      <w:r w:rsidRPr="001237C9">
        <w:rPr>
          <w:rFonts w:ascii="Times New Roman" w:hAnsi="Times New Roman" w:cs="Times New Roman"/>
          <w:sz w:val="28"/>
          <w:szCs w:val="28"/>
        </w:rPr>
        <w:t>В структуре исследования были выделены три основных этапа</w:t>
      </w:r>
      <w:r w:rsidRPr="00B05FA2">
        <w:rPr>
          <w:rFonts w:ascii="Times New Roman" w:hAnsi="Times New Roman" w:cs="Times New Roman"/>
          <w:sz w:val="28"/>
          <w:szCs w:val="28"/>
        </w:rPr>
        <w:t>:</w:t>
      </w:r>
    </w:p>
    <w:p w:rsidR="00353B31" w:rsidRPr="00B05FA2" w:rsidRDefault="00353B31" w:rsidP="00353B31">
      <w:pPr>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i/>
          <w:sz w:val="28"/>
          <w:szCs w:val="28"/>
        </w:rPr>
        <w:t>1 этап исследования:</w:t>
      </w:r>
      <w:r w:rsidRPr="00B05FA2">
        <w:rPr>
          <w:rFonts w:ascii="Times New Roman" w:hAnsi="Times New Roman" w:cs="Times New Roman"/>
          <w:sz w:val="28"/>
          <w:szCs w:val="28"/>
        </w:rPr>
        <w:t xml:space="preserve"> систематический обзор исследований, посвящ</w:t>
      </w:r>
      <w:r>
        <w:rPr>
          <w:rFonts w:ascii="Times New Roman" w:hAnsi="Times New Roman" w:cs="Times New Roman"/>
          <w:sz w:val="28"/>
          <w:szCs w:val="28"/>
        </w:rPr>
        <w:t>ё</w:t>
      </w:r>
      <w:r w:rsidRPr="00B05FA2">
        <w:rPr>
          <w:rFonts w:ascii="Times New Roman" w:hAnsi="Times New Roman" w:cs="Times New Roman"/>
          <w:sz w:val="28"/>
          <w:szCs w:val="28"/>
        </w:rPr>
        <w:t>нных проведению молекулярной аллергодиагностик</w:t>
      </w:r>
      <w:r>
        <w:rPr>
          <w:rFonts w:ascii="Times New Roman" w:hAnsi="Times New Roman" w:cs="Times New Roman"/>
          <w:sz w:val="28"/>
          <w:szCs w:val="28"/>
        </w:rPr>
        <w:t>и</w:t>
      </w:r>
      <w:r w:rsidRPr="00B05FA2">
        <w:rPr>
          <w:rFonts w:ascii="Times New Roman" w:hAnsi="Times New Roman" w:cs="Times New Roman"/>
          <w:sz w:val="28"/>
          <w:szCs w:val="28"/>
        </w:rPr>
        <w:t xml:space="preserve"> при аллерген-специфической иммунотерапии.</w:t>
      </w:r>
    </w:p>
    <w:p w:rsidR="00353B31" w:rsidRPr="00B05FA2" w:rsidRDefault="00353B31" w:rsidP="00353B31">
      <w:pPr>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Дизайн: систематический обзор.</w:t>
      </w:r>
    </w:p>
    <w:p w:rsidR="00353B31" w:rsidRPr="00B05FA2" w:rsidRDefault="00353B31" w:rsidP="00353B31">
      <w:pPr>
        <w:spacing w:after="0" w:line="240" w:lineRule="auto"/>
        <w:ind w:firstLine="567"/>
        <w:jc w:val="both"/>
        <w:rPr>
          <w:rFonts w:ascii="Times New Roman" w:hAnsi="Times New Roman" w:cs="Times New Roman"/>
          <w:strike/>
          <w:sz w:val="28"/>
          <w:szCs w:val="28"/>
        </w:rPr>
      </w:pPr>
      <w:r w:rsidRPr="00B05FA2">
        <w:rPr>
          <w:rFonts w:ascii="Times New Roman" w:hAnsi="Times New Roman" w:cs="Times New Roman"/>
          <w:i/>
          <w:sz w:val="28"/>
          <w:szCs w:val="28"/>
        </w:rPr>
        <w:t>2 этап исследования:</w:t>
      </w:r>
      <w:r w:rsidRPr="00B05FA2">
        <w:rPr>
          <w:rFonts w:ascii="Times New Roman" w:hAnsi="Times New Roman" w:cs="Times New Roman"/>
          <w:sz w:val="28"/>
          <w:szCs w:val="28"/>
        </w:rPr>
        <w:t xml:space="preserve"> рандомизированное клиническое исследование (1 группа: аллерген-специфическ</w:t>
      </w:r>
      <w:r>
        <w:rPr>
          <w:rFonts w:ascii="Times New Roman" w:hAnsi="Times New Roman" w:cs="Times New Roman"/>
          <w:sz w:val="28"/>
          <w:szCs w:val="28"/>
        </w:rPr>
        <w:t>ая</w:t>
      </w:r>
      <w:r w:rsidRPr="00B05FA2">
        <w:rPr>
          <w:rFonts w:ascii="Times New Roman" w:hAnsi="Times New Roman" w:cs="Times New Roman"/>
          <w:sz w:val="28"/>
          <w:szCs w:val="28"/>
        </w:rPr>
        <w:t xml:space="preserve"> иммунотерапи</w:t>
      </w:r>
      <w:r>
        <w:rPr>
          <w:rFonts w:ascii="Times New Roman" w:hAnsi="Times New Roman" w:cs="Times New Roman"/>
          <w:sz w:val="28"/>
          <w:szCs w:val="28"/>
        </w:rPr>
        <w:t>я</w:t>
      </w:r>
      <w:r w:rsidRPr="00B05FA2">
        <w:rPr>
          <w:rFonts w:ascii="Times New Roman" w:hAnsi="Times New Roman" w:cs="Times New Roman"/>
          <w:sz w:val="28"/>
          <w:szCs w:val="28"/>
        </w:rPr>
        <w:t xml:space="preserve"> в комплексе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ом</w:t>
      </w:r>
      <w:r>
        <w:rPr>
          <w:rFonts w:ascii="Times New Roman" w:hAnsi="Times New Roman" w:cs="Times New Roman"/>
          <w:sz w:val="28"/>
          <w:szCs w:val="28"/>
        </w:rPr>
        <w:t xml:space="preserve">; </w:t>
      </w:r>
      <w:r w:rsidRPr="00B05FA2">
        <w:rPr>
          <w:rFonts w:ascii="Times New Roman" w:hAnsi="Times New Roman" w:cs="Times New Roman"/>
          <w:sz w:val="28"/>
          <w:szCs w:val="28"/>
        </w:rPr>
        <w:t xml:space="preserve">2 группа: </w:t>
      </w:r>
      <w:r w:rsidRPr="001237C9">
        <w:rPr>
          <w:rFonts w:ascii="Times New Roman" w:hAnsi="Times New Roman" w:cs="Times New Roman"/>
          <w:sz w:val="28"/>
          <w:szCs w:val="28"/>
        </w:rPr>
        <w:t>стандартн</w:t>
      </w:r>
      <w:r>
        <w:rPr>
          <w:rFonts w:ascii="Times New Roman" w:hAnsi="Times New Roman" w:cs="Times New Roman"/>
          <w:sz w:val="28"/>
          <w:szCs w:val="28"/>
        </w:rPr>
        <w:t>ая</w:t>
      </w:r>
      <w:r w:rsidRPr="001237C9">
        <w:rPr>
          <w:rFonts w:ascii="Times New Roman" w:hAnsi="Times New Roman" w:cs="Times New Roman"/>
          <w:sz w:val="28"/>
          <w:szCs w:val="28"/>
        </w:rPr>
        <w:t xml:space="preserve"> </w:t>
      </w:r>
      <w:r w:rsidRPr="00B05FA2">
        <w:rPr>
          <w:rFonts w:ascii="Times New Roman" w:hAnsi="Times New Roman" w:cs="Times New Roman"/>
          <w:sz w:val="28"/>
          <w:szCs w:val="28"/>
        </w:rPr>
        <w:t xml:space="preserve">схема аллерген-специфической иммунотерапии) </w:t>
      </w:r>
      <w:r w:rsidRPr="00CB1B79">
        <w:rPr>
          <w:rFonts w:ascii="Times New Roman" w:hAnsi="Times New Roman" w:cs="Times New Roman"/>
          <w:sz w:val="28"/>
          <w:szCs w:val="28"/>
        </w:rPr>
        <w:t>с участием случайной выборки из 153 пациентов с аллергическим ринитом</w:t>
      </w:r>
      <w:r w:rsidRPr="00B05FA2">
        <w:rPr>
          <w:rFonts w:ascii="Times New Roman" w:hAnsi="Times New Roman" w:cs="Times New Roman"/>
          <w:sz w:val="28"/>
          <w:szCs w:val="28"/>
        </w:rPr>
        <w:t xml:space="preserve">. </w:t>
      </w:r>
      <w:r w:rsidRPr="00CB1B79">
        <w:rPr>
          <w:rFonts w:ascii="Times New Roman" w:hAnsi="Times New Roman" w:cs="Times New Roman"/>
          <w:sz w:val="28"/>
          <w:szCs w:val="28"/>
        </w:rPr>
        <w:t>В процессе выполнения этого этапа были определены основные клинико-лабораторные маркеры эффективности аллерген-специфической иммунотерапии, обладающие наибольшей прогностической значимостью</w:t>
      </w:r>
      <w:r w:rsidRPr="00B05FA2">
        <w:rPr>
          <w:rFonts w:ascii="Times New Roman" w:hAnsi="Times New Roman" w:cs="Times New Roman"/>
          <w:sz w:val="28"/>
          <w:szCs w:val="28"/>
        </w:rPr>
        <w:t xml:space="preserve">. </w:t>
      </w:r>
    </w:p>
    <w:p w:rsidR="00353B31" w:rsidRPr="00B05FA2" w:rsidRDefault="00353B31" w:rsidP="00353B31">
      <w:pPr>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Дизайн: рандомизированное клиническое исследование.</w:t>
      </w:r>
    </w:p>
    <w:p w:rsidR="00353B31" w:rsidRPr="00B05FA2" w:rsidRDefault="00353B31" w:rsidP="00353B31">
      <w:pPr>
        <w:spacing w:after="0" w:line="240" w:lineRule="auto"/>
        <w:ind w:firstLine="567"/>
        <w:jc w:val="both"/>
        <w:rPr>
          <w:rFonts w:ascii="Times New Roman" w:hAnsi="Times New Roman" w:cs="Times New Roman"/>
          <w:sz w:val="28"/>
          <w:szCs w:val="28"/>
        </w:rPr>
      </w:pPr>
      <w:r w:rsidRPr="00CB1B79">
        <w:rPr>
          <w:rFonts w:ascii="Times New Roman" w:hAnsi="Times New Roman" w:cs="Times New Roman"/>
          <w:i/>
          <w:sz w:val="28"/>
          <w:szCs w:val="28"/>
        </w:rPr>
        <w:t>3 этап исследования</w:t>
      </w:r>
      <w:r>
        <w:rPr>
          <w:rFonts w:ascii="Times New Roman" w:hAnsi="Times New Roman" w:cs="Times New Roman"/>
          <w:i/>
          <w:sz w:val="28"/>
          <w:szCs w:val="28"/>
        </w:rPr>
        <w:t>:</w:t>
      </w:r>
      <w:r w:rsidRPr="00B05FA2">
        <w:rPr>
          <w:rFonts w:ascii="Times New Roman" w:hAnsi="Times New Roman" w:cs="Times New Roman"/>
          <w:sz w:val="28"/>
          <w:szCs w:val="28"/>
        </w:rPr>
        <w:t xml:space="preserve"> </w:t>
      </w:r>
      <w:r w:rsidRPr="00C94ED4">
        <w:rPr>
          <w:rFonts w:ascii="Times New Roman" w:hAnsi="Times New Roman" w:cs="Times New Roman"/>
          <w:sz w:val="28"/>
          <w:szCs w:val="28"/>
        </w:rPr>
        <w:t>проведение аналитического исследования с целью создания клинико-диагностического алгоритма диагностики и лечения аллергического ринита для последующего усовершенствования клинического менеджмента аллергического ринита</w:t>
      </w:r>
      <w:r w:rsidRPr="00B05FA2">
        <w:rPr>
          <w:rFonts w:ascii="Times New Roman" w:hAnsi="Times New Roman" w:cs="Times New Roman"/>
          <w:sz w:val="28"/>
          <w:szCs w:val="28"/>
        </w:rPr>
        <w:t>.</w:t>
      </w:r>
    </w:p>
    <w:p w:rsidR="00353B31" w:rsidRPr="00B05FA2" w:rsidRDefault="00353B31" w:rsidP="00353B31">
      <w:pPr>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Дизайн: аналитическое исследование.</w:t>
      </w:r>
    </w:p>
    <w:p w:rsidR="00262BBD" w:rsidRDefault="00002324">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Дизайн исследования</w:t>
      </w:r>
    </w:p>
    <w:p w:rsidR="00262BBD" w:rsidRDefault="00002324">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первом этапе нами был проведен систематический обзор исследований, посвященных проведению аллерген-специфической иммунотерапии. Поиск литературы был осуществлен в электронных базах PubMed, Google Scholar и e-library, по ключевым словам - аллерген-специфическая иммунотерапия, эозинофильный катионный белок, общий </w:t>
      </w:r>
      <w:r>
        <w:rPr>
          <w:rFonts w:ascii="Times New Roman" w:hAnsi="Times New Roman" w:cs="Times New Roman"/>
          <w:sz w:val="28"/>
          <w:szCs w:val="28"/>
        </w:rPr>
        <w:lastRenderedPageBreak/>
        <w:t xml:space="preserve">иммуноглобулин Е, молекулярная аллергодиагностика. Глубина поиска составила 14 лет (с 1 января 2008 по 31 декабря 2021 годы). Релевантные работы, отражающие характеристики проблемы были приняты для описания в обзоре. </w:t>
      </w:r>
    </w:p>
    <w:p w:rsidR="00262BBD" w:rsidRDefault="00002324">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следующем этапе работы было проведено рандомизированное контролируемое клиническое исследование (рисунок </w:t>
      </w:r>
      <w:r w:rsidR="005D13E6">
        <w:rPr>
          <w:rFonts w:ascii="Times New Roman" w:hAnsi="Times New Roman" w:cs="Times New Roman"/>
          <w:sz w:val="28"/>
          <w:szCs w:val="28"/>
        </w:rPr>
        <w:t>1</w:t>
      </w:r>
      <w:r>
        <w:rPr>
          <w:rFonts w:ascii="Times New Roman" w:hAnsi="Times New Roman" w:cs="Times New Roman"/>
          <w:sz w:val="28"/>
          <w:szCs w:val="28"/>
        </w:rPr>
        <w:t xml:space="preserve">). </w:t>
      </w:r>
    </w:p>
    <w:p w:rsidR="00262BBD" w:rsidRDefault="00262BBD">
      <w:pPr>
        <w:tabs>
          <w:tab w:val="left" w:pos="851"/>
          <w:tab w:val="left" w:pos="993"/>
        </w:tabs>
        <w:spacing w:after="0"/>
        <w:ind w:firstLine="567"/>
        <w:jc w:val="both"/>
        <w:rPr>
          <w:rFonts w:ascii="Times New Roman" w:hAnsi="Times New Roman" w:cs="Times New Roman"/>
          <w:sz w:val="28"/>
          <w:szCs w:val="28"/>
        </w:rPr>
      </w:pPr>
    </w:p>
    <w:p w:rsidR="00262BBD" w:rsidRDefault="00BE240D">
      <w:pPr>
        <w:tabs>
          <w:tab w:val="left" w:pos="851"/>
          <w:tab w:val="left" w:pos="993"/>
        </w:tabs>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77991" cy="4594860"/>
            <wp:effectExtent l="0" t="0" r="0" b="0"/>
            <wp:docPr id="1" name="Рисунок 1" descr="РКИ_13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КИ_1309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4938" cy="4600908"/>
                    </a:xfrm>
                    <a:prstGeom prst="rect">
                      <a:avLst/>
                    </a:prstGeom>
                    <a:noFill/>
                    <a:ln>
                      <a:noFill/>
                    </a:ln>
                  </pic:spPr>
                </pic:pic>
              </a:graphicData>
            </a:graphic>
          </wp:inline>
        </w:drawing>
      </w:r>
    </w:p>
    <w:p w:rsidR="00262BBD" w:rsidRDefault="00262BBD">
      <w:pPr>
        <w:tabs>
          <w:tab w:val="left" w:pos="851"/>
          <w:tab w:val="left" w:pos="993"/>
        </w:tabs>
        <w:spacing w:after="0"/>
        <w:ind w:firstLine="567"/>
        <w:jc w:val="both"/>
        <w:rPr>
          <w:rFonts w:ascii="Times New Roman" w:hAnsi="Times New Roman" w:cs="Times New Roman"/>
          <w:sz w:val="28"/>
          <w:szCs w:val="28"/>
        </w:rPr>
      </w:pPr>
    </w:p>
    <w:p w:rsidR="00262BBD" w:rsidRDefault="00002324">
      <w:pPr>
        <w:tabs>
          <w:tab w:val="left" w:pos="851"/>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5D13E6">
        <w:rPr>
          <w:rFonts w:ascii="Times New Roman" w:hAnsi="Times New Roman" w:cs="Times New Roman"/>
          <w:sz w:val="28"/>
          <w:szCs w:val="28"/>
        </w:rPr>
        <w:t>1</w:t>
      </w:r>
      <w:r>
        <w:rPr>
          <w:rFonts w:ascii="Times New Roman" w:hAnsi="Times New Roman" w:cs="Times New Roman"/>
          <w:sz w:val="28"/>
          <w:szCs w:val="28"/>
        </w:rPr>
        <w:t xml:space="preserve"> –  Характеристика контрольных точек рандомизированного клинического исследования</w:t>
      </w:r>
    </w:p>
    <w:p w:rsidR="00262BBD" w:rsidRDefault="00262BBD">
      <w:pPr>
        <w:tabs>
          <w:tab w:val="left" w:pos="284"/>
          <w:tab w:val="left" w:pos="709"/>
          <w:tab w:val="left" w:pos="851"/>
        </w:tabs>
        <w:spacing w:after="0" w:line="240" w:lineRule="auto"/>
        <w:ind w:firstLine="567"/>
        <w:jc w:val="both"/>
        <w:rPr>
          <w:rFonts w:ascii="Times New Roman" w:hAnsi="Times New Roman" w:cs="Times New Roman"/>
          <w:sz w:val="28"/>
          <w:szCs w:val="28"/>
        </w:rPr>
      </w:pPr>
    </w:p>
    <w:p w:rsidR="007000C5" w:rsidRDefault="007000C5" w:rsidP="0022127A">
      <w:pPr>
        <w:tabs>
          <w:tab w:val="left" w:pos="284"/>
          <w:tab w:val="left" w:pos="709"/>
          <w:tab w:val="left" w:pos="851"/>
        </w:tabs>
        <w:spacing w:after="0" w:line="240" w:lineRule="auto"/>
        <w:ind w:firstLine="567"/>
        <w:jc w:val="both"/>
        <w:rPr>
          <w:rFonts w:ascii="Times New Roman" w:hAnsi="Times New Roman" w:cs="Times New Roman"/>
          <w:sz w:val="28"/>
          <w:szCs w:val="28"/>
        </w:rPr>
      </w:pPr>
      <w:r w:rsidRPr="002B3EFC">
        <w:rPr>
          <w:rFonts w:ascii="Times New Roman" w:hAnsi="Times New Roman" w:cs="Times New Roman"/>
          <w:sz w:val="28"/>
          <w:szCs w:val="28"/>
        </w:rPr>
        <w:t>Общее время наблюдения составило 3 года. Контрольные точки включали период скрининга, проводимый ежегодно с июня по декабрь (нулевая контрольная точка), начальную фазу исследования в январе (вход, 1 контрольная точка), контрольное измерение через 2,5 месяца — в марте-апреле (10 недель, 2 контрольная точка), а также через 8 месяцев — в августе (32 недели, 3 контрольная точка, выход)</w:t>
      </w:r>
      <w:r w:rsidR="009D63DA">
        <w:rPr>
          <w:rFonts w:ascii="Times New Roman" w:hAnsi="Times New Roman" w:cs="Times New Roman"/>
          <w:sz w:val="28"/>
          <w:szCs w:val="28"/>
        </w:rPr>
        <w:t>.</w:t>
      </w:r>
      <w:r w:rsidRPr="002B3EFC">
        <w:rPr>
          <w:rFonts w:ascii="Times New Roman" w:hAnsi="Times New Roman" w:cs="Times New Roman"/>
          <w:sz w:val="28"/>
          <w:szCs w:val="28"/>
        </w:rPr>
        <w:t xml:space="preserve"> </w:t>
      </w:r>
    </w:p>
    <w:p w:rsidR="0060188B" w:rsidRPr="0060188B" w:rsidRDefault="0060188B" w:rsidP="0060188B">
      <w:pPr>
        <w:tabs>
          <w:tab w:val="left" w:pos="284"/>
          <w:tab w:val="left" w:pos="709"/>
          <w:tab w:val="left" w:pos="851"/>
        </w:tabs>
        <w:spacing w:after="0" w:line="240" w:lineRule="auto"/>
        <w:ind w:firstLine="567"/>
        <w:jc w:val="both"/>
        <w:rPr>
          <w:rFonts w:ascii="Times New Roman" w:hAnsi="Times New Roman" w:cs="Times New Roman"/>
          <w:i/>
          <w:sz w:val="28"/>
          <w:szCs w:val="28"/>
        </w:rPr>
      </w:pPr>
      <w:r w:rsidRPr="0060188B">
        <w:rPr>
          <w:rFonts w:ascii="Times New Roman" w:hAnsi="Times New Roman" w:cs="Times New Roman"/>
          <w:i/>
          <w:sz w:val="28"/>
          <w:szCs w:val="28"/>
        </w:rPr>
        <w:t>Фазы исследования</w:t>
      </w:r>
    </w:p>
    <w:p w:rsidR="0060188B" w:rsidRPr="0060188B" w:rsidRDefault="0060188B" w:rsidP="0060188B">
      <w:pPr>
        <w:tabs>
          <w:tab w:val="left" w:pos="284"/>
          <w:tab w:val="left" w:pos="709"/>
          <w:tab w:val="left" w:pos="851"/>
        </w:tabs>
        <w:spacing w:after="0" w:line="240" w:lineRule="auto"/>
        <w:ind w:firstLine="567"/>
        <w:jc w:val="both"/>
        <w:rPr>
          <w:rFonts w:ascii="Times New Roman" w:hAnsi="Times New Roman" w:cs="Times New Roman"/>
          <w:sz w:val="28"/>
          <w:szCs w:val="28"/>
        </w:rPr>
      </w:pPr>
      <w:r w:rsidRPr="0060188B">
        <w:rPr>
          <w:rFonts w:ascii="Times New Roman" w:hAnsi="Times New Roman" w:cs="Times New Roman"/>
          <w:sz w:val="28"/>
          <w:szCs w:val="28"/>
        </w:rPr>
        <w:t xml:space="preserve">I фаза исследования. На первой фазе исследования всем пациентам проводился осмотр, анкетирование для оценки степени тяжести клинических симптомов и качества жизни (методология в разделе 2.1.3), а также лабораторное обследование с определением уровней эозинофильного </w:t>
      </w:r>
      <w:r w:rsidRPr="0060188B">
        <w:rPr>
          <w:rFonts w:ascii="Times New Roman" w:hAnsi="Times New Roman" w:cs="Times New Roman"/>
          <w:sz w:val="28"/>
          <w:szCs w:val="28"/>
        </w:rPr>
        <w:lastRenderedPageBreak/>
        <w:t xml:space="preserve">катионного белка, специфического IgE (ISAC-тест), 25(OH)D и общего IgE в сыворотке крови [150]. После чего был назначен препарат Антиполлин одной группе по классической схеме и другой группе по адаптированной схеме в комплексе с холекальциферолом. </w:t>
      </w:r>
    </w:p>
    <w:p w:rsidR="0060188B" w:rsidRPr="0060188B" w:rsidRDefault="0060188B" w:rsidP="0060188B">
      <w:pPr>
        <w:tabs>
          <w:tab w:val="left" w:pos="284"/>
          <w:tab w:val="left" w:pos="709"/>
          <w:tab w:val="left" w:pos="851"/>
        </w:tabs>
        <w:spacing w:after="0" w:line="240" w:lineRule="auto"/>
        <w:ind w:firstLine="567"/>
        <w:jc w:val="both"/>
        <w:rPr>
          <w:rFonts w:ascii="Times New Roman" w:hAnsi="Times New Roman" w:cs="Times New Roman"/>
          <w:sz w:val="28"/>
          <w:szCs w:val="28"/>
        </w:rPr>
      </w:pPr>
      <w:r w:rsidRPr="0060188B">
        <w:rPr>
          <w:rFonts w:ascii="Times New Roman" w:hAnsi="Times New Roman" w:cs="Times New Roman"/>
          <w:sz w:val="28"/>
          <w:szCs w:val="28"/>
        </w:rPr>
        <w:t>После этого одной группе был назначен препарат Антиполлин по классической схеме, а другой группе — по адаптированной схеме в комплексе с холекальциферолом.</w:t>
      </w:r>
    </w:p>
    <w:p w:rsidR="0060188B" w:rsidRPr="0060188B" w:rsidRDefault="0060188B" w:rsidP="0060188B">
      <w:pPr>
        <w:tabs>
          <w:tab w:val="left" w:pos="284"/>
          <w:tab w:val="left" w:pos="709"/>
          <w:tab w:val="left" w:pos="851"/>
        </w:tabs>
        <w:spacing w:after="0" w:line="240" w:lineRule="auto"/>
        <w:ind w:firstLine="567"/>
        <w:jc w:val="both"/>
        <w:rPr>
          <w:rFonts w:ascii="Times New Roman" w:hAnsi="Times New Roman" w:cs="Times New Roman"/>
          <w:sz w:val="28"/>
          <w:szCs w:val="28"/>
        </w:rPr>
      </w:pPr>
      <w:r w:rsidRPr="0060188B">
        <w:rPr>
          <w:rFonts w:ascii="Times New Roman" w:hAnsi="Times New Roman" w:cs="Times New Roman"/>
          <w:sz w:val="28"/>
          <w:szCs w:val="28"/>
        </w:rPr>
        <w:t>II фаза исследования. На второй фазе (через 2,5 месяца или 10 недель) при явке к врачу пациенты обеих групп проходили осмотр и лабораторное обследование, включая определение уровней эозинофильного катионного белка, специфического IgE (ISAC-тест), 25(OH)D и общего IgE, до начала сезона обострения.</w:t>
      </w:r>
    </w:p>
    <w:p w:rsidR="0060188B" w:rsidRPr="0060188B" w:rsidRDefault="0060188B" w:rsidP="0060188B">
      <w:pPr>
        <w:tabs>
          <w:tab w:val="left" w:pos="284"/>
          <w:tab w:val="left" w:pos="709"/>
          <w:tab w:val="left" w:pos="851"/>
        </w:tabs>
        <w:spacing w:after="0" w:line="240" w:lineRule="auto"/>
        <w:ind w:firstLine="567"/>
        <w:jc w:val="both"/>
        <w:rPr>
          <w:rFonts w:ascii="Times New Roman" w:hAnsi="Times New Roman" w:cs="Times New Roman"/>
          <w:sz w:val="28"/>
          <w:szCs w:val="28"/>
        </w:rPr>
      </w:pPr>
      <w:r w:rsidRPr="0060188B">
        <w:rPr>
          <w:rFonts w:ascii="Times New Roman" w:hAnsi="Times New Roman" w:cs="Times New Roman"/>
          <w:sz w:val="28"/>
          <w:szCs w:val="28"/>
        </w:rPr>
        <w:t>III фаза исследования. На третьей фазе (через 8 месяцев или 32 недели) при явке к врачу пациентам обеих групп проводился осмотр, сбор анамнеза, анкетирование для определения степени тяжести симптомов и качества жизни в сезон обострения.</w:t>
      </w:r>
    </w:p>
    <w:p w:rsidR="0060188B" w:rsidRPr="0060188B" w:rsidRDefault="0060188B" w:rsidP="0060188B">
      <w:pPr>
        <w:tabs>
          <w:tab w:val="left" w:pos="284"/>
          <w:tab w:val="left" w:pos="709"/>
          <w:tab w:val="left" w:pos="851"/>
        </w:tabs>
        <w:spacing w:after="0" w:line="240" w:lineRule="auto"/>
        <w:ind w:firstLine="567"/>
        <w:jc w:val="both"/>
        <w:rPr>
          <w:rFonts w:ascii="Times New Roman" w:hAnsi="Times New Roman" w:cs="Times New Roman"/>
          <w:sz w:val="28"/>
          <w:szCs w:val="28"/>
        </w:rPr>
      </w:pPr>
      <w:r w:rsidRPr="0060188B">
        <w:rPr>
          <w:rFonts w:ascii="Times New Roman" w:hAnsi="Times New Roman" w:cs="Times New Roman"/>
          <w:sz w:val="28"/>
          <w:szCs w:val="28"/>
        </w:rPr>
        <w:t>При возникновении признаков обострения пациентам рекомендовалось временно прекратить приём препарата и назначить антигистаминные препараты на 3 дня, после чего лечение возобновлялось.</w:t>
      </w:r>
    </w:p>
    <w:p w:rsidR="00262BBD" w:rsidRDefault="00002324" w:rsidP="0060188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Характеристика вмешательства</w:t>
      </w:r>
    </w:p>
    <w:p w:rsidR="008B30AB" w:rsidRPr="00B05FA2" w:rsidRDefault="008B30AB" w:rsidP="0022127A">
      <w:pPr>
        <w:tabs>
          <w:tab w:val="left" w:pos="851"/>
          <w:tab w:val="left" w:pos="993"/>
        </w:tabs>
        <w:spacing w:after="0" w:line="240" w:lineRule="auto"/>
        <w:ind w:firstLine="567"/>
        <w:jc w:val="both"/>
        <w:rPr>
          <w:rFonts w:ascii="Times New Roman" w:hAnsi="Times New Roman" w:cs="Times New Roman"/>
          <w:sz w:val="28"/>
          <w:szCs w:val="28"/>
        </w:rPr>
      </w:pPr>
      <w:r w:rsidRPr="00B05FA2">
        <w:rPr>
          <w:rFonts w:ascii="Times New Roman" w:hAnsi="Times New Roman" w:cs="Times New Roman"/>
          <w:sz w:val="28"/>
          <w:szCs w:val="28"/>
        </w:rPr>
        <w:t xml:space="preserve">АСИТ </w:t>
      </w:r>
      <w:r w:rsidRPr="00E9783E">
        <w:rPr>
          <w:rFonts w:ascii="Times New Roman" w:hAnsi="Times New Roman" w:cs="Times New Roman"/>
          <w:sz w:val="28"/>
          <w:szCs w:val="28"/>
        </w:rPr>
        <w:t>проводилась с использованием препарата «Антиполлин» в форме таблетированных сублингвальных экстрактов аллергенов компании «Бурли» в соответствии с инструкцией производителя. Препарат разрешён к использованию на территории Республики Казахстан на основании приказа председателя ККМФД МЗ РК от 6 ноября 2012 года № 845 (Регистрационное удостоверение РК-ЛС-5№019347) и приказа КЗПП МНЭ РК от 24 июля 2015 года № 183-ОД (Свидетельство о государственной регистрации № KZ.16.01.97.003.E.004684.07.15) (Приложение Е).</w:t>
      </w:r>
    </w:p>
    <w:p w:rsidR="008B30AB" w:rsidRPr="00E9783E" w:rsidRDefault="008B30AB" w:rsidP="0022127A">
      <w:pPr>
        <w:tabs>
          <w:tab w:val="left" w:pos="851"/>
          <w:tab w:val="left" w:pos="993"/>
        </w:tabs>
        <w:spacing w:after="0" w:line="240" w:lineRule="auto"/>
        <w:ind w:firstLine="567"/>
        <w:jc w:val="both"/>
        <w:rPr>
          <w:rFonts w:ascii="Times New Roman" w:hAnsi="Times New Roman" w:cs="Times New Roman"/>
          <w:sz w:val="28"/>
          <w:szCs w:val="28"/>
        </w:rPr>
      </w:pPr>
      <w:r w:rsidRPr="00E9783E">
        <w:rPr>
          <w:rFonts w:ascii="Times New Roman" w:hAnsi="Times New Roman" w:cs="Times New Roman"/>
          <w:sz w:val="28"/>
          <w:szCs w:val="28"/>
        </w:rPr>
        <w:t>«Антиполлин» представляет собой стандартизированный комплекс, состоящий из трёх компонентов:</w:t>
      </w:r>
    </w:p>
    <w:p w:rsidR="008B30AB" w:rsidRPr="00E9783E" w:rsidRDefault="008B30AB" w:rsidP="0022127A">
      <w:pPr>
        <w:pStyle w:val="a4"/>
        <w:numPr>
          <w:ilvl w:val="0"/>
          <w:numId w:val="6"/>
        </w:numPr>
        <w:tabs>
          <w:tab w:val="left" w:pos="851"/>
          <w:tab w:val="left" w:pos="993"/>
        </w:tabs>
        <w:spacing w:after="0" w:line="240" w:lineRule="auto"/>
        <w:ind w:left="0" w:firstLine="567"/>
        <w:jc w:val="both"/>
        <w:rPr>
          <w:rFonts w:ascii="Times New Roman" w:hAnsi="Times New Roman" w:cs="Times New Roman"/>
          <w:sz w:val="28"/>
          <w:szCs w:val="28"/>
        </w:rPr>
      </w:pPr>
      <w:r w:rsidRPr="00E9783E">
        <w:rPr>
          <w:rFonts w:ascii="Times New Roman" w:hAnsi="Times New Roman" w:cs="Times New Roman"/>
          <w:sz w:val="28"/>
          <w:szCs w:val="28"/>
        </w:rPr>
        <w:t>Стандартизированный экстракт из пыльцы растений (одного, двух или трёх аллергенов) — 15% от массы таблетки.</w:t>
      </w:r>
    </w:p>
    <w:p w:rsidR="008B30AB" w:rsidRPr="00E9783E" w:rsidRDefault="008B30AB" w:rsidP="0022127A">
      <w:pPr>
        <w:pStyle w:val="a4"/>
        <w:numPr>
          <w:ilvl w:val="0"/>
          <w:numId w:val="6"/>
        </w:numPr>
        <w:tabs>
          <w:tab w:val="left" w:pos="851"/>
          <w:tab w:val="left" w:pos="993"/>
        </w:tabs>
        <w:spacing w:after="0" w:line="240" w:lineRule="auto"/>
        <w:ind w:left="0" w:firstLine="567"/>
        <w:jc w:val="both"/>
        <w:rPr>
          <w:rFonts w:ascii="Times New Roman" w:hAnsi="Times New Roman" w:cs="Times New Roman"/>
          <w:sz w:val="28"/>
          <w:szCs w:val="28"/>
        </w:rPr>
      </w:pPr>
      <w:r w:rsidRPr="00E9783E">
        <w:rPr>
          <w:rFonts w:ascii="Times New Roman" w:hAnsi="Times New Roman" w:cs="Times New Roman"/>
          <w:sz w:val="28"/>
          <w:szCs w:val="28"/>
        </w:rPr>
        <w:t>Аскорбиновая кислота в дозе 0,05 г — 15% от массы таблетки.</w:t>
      </w:r>
    </w:p>
    <w:p w:rsidR="008B30AB" w:rsidRPr="00E9783E" w:rsidRDefault="008B30AB" w:rsidP="0022127A">
      <w:pPr>
        <w:pStyle w:val="a4"/>
        <w:numPr>
          <w:ilvl w:val="0"/>
          <w:numId w:val="6"/>
        </w:numPr>
        <w:tabs>
          <w:tab w:val="left" w:pos="851"/>
          <w:tab w:val="left" w:pos="993"/>
        </w:tabs>
        <w:spacing w:after="0" w:line="240" w:lineRule="auto"/>
        <w:ind w:left="0" w:firstLine="567"/>
        <w:jc w:val="both"/>
        <w:rPr>
          <w:rFonts w:ascii="Times New Roman" w:hAnsi="Times New Roman" w:cs="Times New Roman"/>
          <w:sz w:val="28"/>
          <w:szCs w:val="28"/>
        </w:rPr>
      </w:pPr>
      <w:r w:rsidRPr="00E9783E">
        <w:rPr>
          <w:rFonts w:ascii="Times New Roman" w:hAnsi="Times New Roman" w:cs="Times New Roman"/>
          <w:sz w:val="28"/>
          <w:szCs w:val="28"/>
        </w:rPr>
        <w:t>Носитель, обеспечивающий твердую форму таблетки и способствующий её растворению во рту, с содержанием вспомогательных веществ 70%.</w:t>
      </w:r>
    </w:p>
    <w:p w:rsidR="008B30AB" w:rsidRDefault="008B30AB" w:rsidP="0022127A">
      <w:pPr>
        <w:tabs>
          <w:tab w:val="left" w:pos="851"/>
          <w:tab w:val="left" w:pos="993"/>
        </w:tabs>
        <w:spacing w:after="0" w:line="240" w:lineRule="auto"/>
        <w:ind w:firstLine="567"/>
        <w:jc w:val="both"/>
        <w:rPr>
          <w:rFonts w:ascii="Times New Roman" w:hAnsi="Times New Roman" w:cs="Times New Roman"/>
          <w:sz w:val="28"/>
          <w:szCs w:val="28"/>
        </w:rPr>
      </w:pPr>
      <w:r w:rsidRPr="00E9783E">
        <w:rPr>
          <w:rFonts w:ascii="Times New Roman" w:hAnsi="Times New Roman" w:cs="Times New Roman"/>
          <w:sz w:val="28"/>
          <w:szCs w:val="28"/>
        </w:rPr>
        <w:t>Ассортимент таблеток «Антиполлин» включает около 20 различных видов, в том числе миксты. В нашем исследовании использовались следующие составы: «Антиполлин микст полыней», «Антиполлин тимофеевка луговая», «Антиполлин береза повислая», «Антиполлин амброзия полыннолистная» и «Антиполлин микст сорных трав №1».</w:t>
      </w:r>
    </w:p>
    <w:p w:rsidR="008B30AB" w:rsidRDefault="008B30AB" w:rsidP="0022127A">
      <w:pPr>
        <w:tabs>
          <w:tab w:val="left" w:pos="851"/>
          <w:tab w:val="left" w:pos="993"/>
        </w:tabs>
        <w:spacing w:after="0" w:line="240" w:lineRule="auto"/>
        <w:ind w:firstLine="567"/>
        <w:jc w:val="both"/>
        <w:rPr>
          <w:rFonts w:ascii="Times New Roman" w:hAnsi="Times New Roman" w:cs="Times New Roman"/>
          <w:sz w:val="28"/>
          <w:szCs w:val="28"/>
        </w:rPr>
      </w:pPr>
      <w:r w:rsidRPr="00E9783E">
        <w:rPr>
          <w:rFonts w:ascii="Times New Roman" w:hAnsi="Times New Roman" w:cs="Times New Roman"/>
          <w:sz w:val="28"/>
          <w:szCs w:val="28"/>
        </w:rPr>
        <w:t xml:space="preserve">Лечение каждому пациенту назначалось врачом-аллергологом в период полной ремиссии, не менее чем за 2 месяца до начала цветения причинного аллергена. Таблетку помещали за щеку или под язык до полного растворения, не запивая водой. Препарат применялся натощак в одно и то же время. Первый </w:t>
      </w:r>
      <w:r w:rsidRPr="00E9783E">
        <w:rPr>
          <w:rFonts w:ascii="Times New Roman" w:hAnsi="Times New Roman" w:cs="Times New Roman"/>
          <w:sz w:val="28"/>
          <w:szCs w:val="28"/>
        </w:rPr>
        <w:lastRenderedPageBreak/>
        <w:t>приём препарата проводился в присутствии лечащего врача, а последующие приёмы пациент осуществлял самостоятельно по назначенной схеме с регулярными контрольными визитами к врачу.</w:t>
      </w:r>
    </w:p>
    <w:p w:rsidR="008B30AB" w:rsidRPr="006E1786" w:rsidRDefault="008B30AB" w:rsidP="0022127A">
      <w:pPr>
        <w:tabs>
          <w:tab w:val="left" w:pos="851"/>
          <w:tab w:val="left" w:pos="993"/>
        </w:tabs>
        <w:spacing w:after="0" w:line="240" w:lineRule="auto"/>
        <w:ind w:firstLine="567"/>
        <w:jc w:val="both"/>
        <w:rPr>
          <w:rFonts w:ascii="Times New Roman" w:hAnsi="Times New Roman" w:cs="Times New Roman"/>
          <w:color w:val="000000"/>
          <w:sz w:val="28"/>
          <w:szCs w:val="28"/>
        </w:rPr>
      </w:pPr>
      <w:r w:rsidRPr="006E1786">
        <w:rPr>
          <w:rFonts w:ascii="Times New Roman" w:hAnsi="Times New Roman" w:cs="Times New Roman"/>
          <w:color w:val="000000"/>
          <w:sz w:val="28"/>
          <w:szCs w:val="28"/>
        </w:rPr>
        <w:t>АСИТ проводилась по схеме, которая включала три этапа:</w:t>
      </w:r>
    </w:p>
    <w:p w:rsidR="008B30AB" w:rsidRPr="006E1786" w:rsidRDefault="008B30AB" w:rsidP="0022127A">
      <w:pPr>
        <w:pStyle w:val="a4"/>
        <w:numPr>
          <w:ilvl w:val="0"/>
          <w:numId w:val="7"/>
        </w:numPr>
        <w:tabs>
          <w:tab w:val="left" w:pos="851"/>
          <w:tab w:val="left" w:pos="993"/>
        </w:tabs>
        <w:spacing w:after="0" w:line="240" w:lineRule="auto"/>
        <w:ind w:left="0" w:firstLine="556"/>
        <w:jc w:val="both"/>
        <w:rPr>
          <w:rFonts w:ascii="Times New Roman" w:hAnsi="Times New Roman" w:cs="Times New Roman"/>
          <w:color w:val="000000"/>
          <w:sz w:val="28"/>
          <w:szCs w:val="28"/>
        </w:rPr>
      </w:pPr>
      <w:r w:rsidRPr="006E1786">
        <w:rPr>
          <w:rFonts w:ascii="Times New Roman" w:hAnsi="Times New Roman" w:cs="Times New Roman"/>
          <w:b/>
          <w:i/>
          <w:color w:val="000000"/>
          <w:sz w:val="28"/>
          <w:szCs w:val="28"/>
        </w:rPr>
        <w:t>Начальный курс</w:t>
      </w:r>
      <w:r w:rsidRPr="006E1786">
        <w:rPr>
          <w:rFonts w:ascii="Times New Roman" w:hAnsi="Times New Roman" w:cs="Times New Roman"/>
          <w:color w:val="000000"/>
          <w:sz w:val="28"/>
          <w:szCs w:val="28"/>
        </w:rPr>
        <w:t xml:space="preserve"> — на этом этапе происходило постепенное увеличение дозы с постоянным повышением концентрации аллергена в течение 1 месяца. Начальная доза составляла 0,0001 PNU и увеличивалась до достижения 1 PNU.</w:t>
      </w:r>
    </w:p>
    <w:p w:rsidR="008B30AB" w:rsidRPr="006E1786" w:rsidRDefault="008B30AB" w:rsidP="0022127A">
      <w:pPr>
        <w:pStyle w:val="a4"/>
        <w:numPr>
          <w:ilvl w:val="0"/>
          <w:numId w:val="7"/>
        </w:numPr>
        <w:tabs>
          <w:tab w:val="left" w:pos="851"/>
          <w:tab w:val="left" w:pos="993"/>
        </w:tabs>
        <w:spacing w:after="0" w:line="240" w:lineRule="auto"/>
        <w:ind w:left="0" w:firstLine="556"/>
        <w:jc w:val="both"/>
        <w:rPr>
          <w:rFonts w:ascii="Times New Roman" w:hAnsi="Times New Roman" w:cs="Times New Roman"/>
          <w:color w:val="000000"/>
          <w:sz w:val="28"/>
          <w:szCs w:val="28"/>
        </w:rPr>
      </w:pPr>
      <w:r w:rsidRPr="006E1786">
        <w:rPr>
          <w:rFonts w:ascii="Times New Roman" w:hAnsi="Times New Roman" w:cs="Times New Roman"/>
          <w:b/>
          <w:i/>
          <w:color w:val="000000"/>
          <w:sz w:val="28"/>
          <w:szCs w:val="28"/>
        </w:rPr>
        <w:t>Основной курс</w:t>
      </w:r>
      <w:r w:rsidRPr="006E1786">
        <w:rPr>
          <w:rFonts w:ascii="Times New Roman" w:hAnsi="Times New Roman" w:cs="Times New Roman"/>
          <w:color w:val="000000"/>
          <w:sz w:val="28"/>
          <w:szCs w:val="28"/>
        </w:rPr>
        <w:t xml:space="preserve"> — в течение 26 дней продолжалось наращивание концентрации аллергена с 10</w:t>
      </w:r>
      <w:r>
        <w:rPr>
          <w:rFonts w:ascii="Times New Roman" w:hAnsi="Times New Roman" w:cs="Times New Roman"/>
          <w:color w:val="000000"/>
          <w:sz w:val="28"/>
          <w:szCs w:val="28"/>
        </w:rPr>
        <w:t xml:space="preserve"> </w:t>
      </w:r>
      <w:r w:rsidRPr="006E1786">
        <w:rPr>
          <w:rFonts w:ascii="Times New Roman" w:hAnsi="Times New Roman" w:cs="Times New Roman"/>
          <w:color w:val="000000"/>
          <w:sz w:val="28"/>
          <w:szCs w:val="28"/>
        </w:rPr>
        <w:t>PNU до максимально допустимой дозы 1000 PNU.</w:t>
      </w:r>
    </w:p>
    <w:p w:rsidR="008B30AB" w:rsidRPr="006E1786" w:rsidRDefault="008B30AB" w:rsidP="0022127A">
      <w:pPr>
        <w:pStyle w:val="a4"/>
        <w:numPr>
          <w:ilvl w:val="0"/>
          <w:numId w:val="7"/>
        </w:numPr>
        <w:tabs>
          <w:tab w:val="left" w:pos="851"/>
          <w:tab w:val="left" w:pos="993"/>
        </w:tabs>
        <w:spacing w:after="0" w:line="240" w:lineRule="auto"/>
        <w:ind w:left="0" w:firstLine="556"/>
        <w:jc w:val="both"/>
        <w:rPr>
          <w:rFonts w:ascii="Times New Roman" w:hAnsi="Times New Roman" w:cs="Times New Roman"/>
          <w:color w:val="000000"/>
          <w:sz w:val="28"/>
          <w:szCs w:val="28"/>
        </w:rPr>
      </w:pPr>
      <w:r w:rsidRPr="006E1786">
        <w:rPr>
          <w:rFonts w:ascii="Times New Roman" w:hAnsi="Times New Roman" w:cs="Times New Roman"/>
          <w:b/>
          <w:i/>
          <w:color w:val="000000"/>
          <w:sz w:val="28"/>
          <w:szCs w:val="28"/>
        </w:rPr>
        <w:t>Поддерживающий курс</w:t>
      </w:r>
      <w:r w:rsidRPr="006E1786">
        <w:rPr>
          <w:rFonts w:ascii="Times New Roman" w:hAnsi="Times New Roman" w:cs="Times New Roman"/>
          <w:color w:val="000000"/>
          <w:sz w:val="28"/>
          <w:szCs w:val="28"/>
        </w:rPr>
        <w:t xml:space="preserve"> — заключался в применении максимально допустимой дозы и концентрации аллергена (1000 PNU), по одной таблетке 1 раз через 2 дня на протяжении 16 дней. Лечение завершалось за 2 недели до предполагаемого сезона цветения растений, пыльца которых вызывала повышенную чувствительность.</w:t>
      </w:r>
    </w:p>
    <w:p w:rsidR="00262BBD" w:rsidRDefault="008B30AB" w:rsidP="0022127A">
      <w:pPr>
        <w:tabs>
          <w:tab w:val="left" w:pos="284"/>
          <w:tab w:val="left" w:pos="709"/>
          <w:tab w:val="left" w:pos="851"/>
        </w:tabs>
        <w:spacing w:after="0" w:line="240" w:lineRule="auto"/>
        <w:ind w:firstLine="567"/>
        <w:jc w:val="both"/>
        <w:rPr>
          <w:rFonts w:ascii="Times New Roman" w:hAnsi="Times New Roman" w:cs="Times New Roman"/>
          <w:b/>
          <w:sz w:val="28"/>
          <w:szCs w:val="28"/>
        </w:rPr>
      </w:pPr>
      <w:r w:rsidRPr="0014145D">
        <w:rPr>
          <w:rFonts w:ascii="Times New Roman" w:hAnsi="Times New Roman" w:cs="Times New Roman"/>
          <w:color w:val="000000"/>
          <w:sz w:val="28"/>
          <w:szCs w:val="28"/>
        </w:rPr>
        <w:t xml:space="preserve">Группе контроля была назначена стандартная схема сублингвальной АСИТ, в то время как группе вмешательства применялась адаптированная схема АСИТ в сочетании с холекальциферолом на протяжении двух с половиной месяцев (Приложение Ж). Дозировка </w:t>
      </w:r>
      <w:r>
        <w:rPr>
          <w:rFonts w:ascii="Times New Roman" w:hAnsi="Times New Roman" w:cs="Times New Roman"/>
          <w:color w:val="000000"/>
          <w:sz w:val="28"/>
          <w:szCs w:val="28"/>
        </w:rPr>
        <w:t xml:space="preserve">холекальциферола </w:t>
      </w:r>
      <w:r w:rsidRPr="0014145D">
        <w:rPr>
          <w:rFonts w:ascii="Times New Roman" w:hAnsi="Times New Roman" w:cs="Times New Roman"/>
          <w:color w:val="000000"/>
          <w:sz w:val="28"/>
          <w:szCs w:val="28"/>
        </w:rPr>
        <w:t>подбиралась индивидуально, в зависимости от исходного уровня дефицита 25(OH)D в сыворотке крови, с целью достижения целевого уровня 40 нг/мл</w:t>
      </w:r>
      <w:r w:rsidR="00002324">
        <w:rPr>
          <w:rFonts w:ascii="Times New Roman" w:hAnsi="Times New Roman" w:cs="Times New Roman"/>
          <w:sz w:val="28"/>
          <w:szCs w:val="28"/>
        </w:rPr>
        <w:t>.</w:t>
      </w:r>
    </w:p>
    <w:p w:rsidR="00262BBD" w:rsidRDefault="00002324" w:rsidP="0022127A">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Статистические процедуры исследования</w:t>
      </w:r>
    </w:p>
    <w:p w:rsidR="0085379C" w:rsidRPr="00E852D8" w:rsidRDefault="0085379C" w:rsidP="0022127A">
      <w:pPr>
        <w:spacing w:after="0" w:line="240" w:lineRule="auto"/>
        <w:ind w:firstLine="567"/>
        <w:jc w:val="both"/>
        <w:rPr>
          <w:rFonts w:ascii="Times New Roman" w:hAnsi="Times New Roman" w:cs="Times New Roman"/>
          <w:sz w:val="28"/>
          <w:szCs w:val="28"/>
        </w:rPr>
      </w:pPr>
      <w:r w:rsidRPr="00E852D8">
        <w:rPr>
          <w:rFonts w:ascii="Times New Roman" w:hAnsi="Times New Roman" w:cs="Times New Roman"/>
          <w:sz w:val="28"/>
          <w:szCs w:val="28"/>
        </w:rPr>
        <w:t>Все статистические процедуры были выполнены с использованием программного обеспечения «Statistica for Windows v. 13.0» (StatSoft Inc, США) и «IBM SPSS Statistics 29.0.2.0» (IBM, США). Результаты были проанализированы с применением методов описательной статистики. Для всех переменных проводилась оценка характера распределения с использованием теста Шапиро-Уилка, коэффициента эксцесса и критерия Колмогорова-Смирнова. При критическом уровне значимости p &lt; 0,05 нулевая гипотеза о нормальности распределения отклонялась. Для количественных признаков с нормальным распределением рассчитывались среднее значение и стандартное отклонение. Если распределение отклонялось от нормального, использовались медиана и квартильные интервалы (25% и 75%).</w:t>
      </w:r>
    </w:p>
    <w:p w:rsidR="0085379C" w:rsidRPr="00E852D8" w:rsidRDefault="0085379C" w:rsidP="0022127A">
      <w:pPr>
        <w:spacing w:after="0" w:line="240" w:lineRule="auto"/>
        <w:ind w:firstLine="567"/>
        <w:jc w:val="both"/>
        <w:rPr>
          <w:rFonts w:ascii="Times New Roman" w:hAnsi="Times New Roman" w:cs="Times New Roman"/>
          <w:sz w:val="28"/>
          <w:szCs w:val="28"/>
        </w:rPr>
      </w:pPr>
      <w:r w:rsidRPr="00E852D8">
        <w:rPr>
          <w:rFonts w:ascii="Times New Roman" w:hAnsi="Times New Roman" w:cs="Times New Roman"/>
          <w:sz w:val="28"/>
          <w:szCs w:val="28"/>
        </w:rPr>
        <w:t>Для качественных показателей строились таблицы частот для определения частоты встречаемости значений. Категориальные данные представлены в виде абсолютных чисел и процентного соотношения относительно всей группы. Для сравнения частоты распределения пациентов по качественным признакам между группами использовался χ²-критерий Пирсона. При p &lt; 0,05 нулевая гипотеза об отсутствии различий частот между группами отклонялась.</w:t>
      </w:r>
    </w:p>
    <w:p w:rsidR="0085379C" w:rsidRPr="00E852D8" w:rsidRDefault="0085379C" w:rsidP="0022127A">
      <w:pPr>
        <w:spacing w:after="0" w:line="240" w:lineRule="auto"/>
        <w:ind w:firstLine="567"/>
        <w:jc w:val="both"/>
        <w:rPr>
          <w:rFonts w:ascii="Times New Roman" w:hAnsi="Times New Roman" w:cs="Times New Roman"/>
          <w:sz w:val="28"/>
          <w:szCs w:val="28"/>
        </w:rPr>
      </w:pPr>
      <w:r w:rsidRPr="00E852D8">
        <w:rPr>
          <w:rFonts w:ascii="Times New Roman" w:hAnsi="Times New Roman" w:cs="Times New Roman"/>
          <w:sz w:val="28"/>
          <w:szCs w:val="28"/>
        </w:rPr>
        <w:t xml:space="preserve">Для поиска различий между группами по количественным параметрам применялся критерий Манна-Уитни. Для сравнения качественных переменных использовался χ²-критерий Пирсона. Для анализа различий в связанных (зависимых) группах применялся критерий Уилкоксона. При </w:t>
      </w:r>
      <w:r w:rsidRPr="00E852D8">
        <w:rPr>
          <w:rFonts w:ascii="Times New Roman" w:hAnsi="Times New Roman" w:cs="Times New Roman"/>
          <w:sz w:val="28"/>
          <w:szCs w:val="28"/>
        </w:rPr>
        <w:lastRenderedPageBreak/>
        <w:t>сравнении зависимых качественных данных в двух точках наблюдения использовался критерий Макнемара.</w:t>
      </w:r>
    </w:p>
    <w:p w:rsidR="0085379C" w:rsidRPr="00E852D8" w:rsidRDefault="0085379C" w:rsidP="0022127A">
      <w:pPr>
        <w:spacing w:after="0" w:line="240" w:lineRule="auto"/>
        <w:ind w:firstLine="567"/>
        <w:jc w:val="both"/>
        <w:rPr>
          <w:rFonts w:ascii="Times New Roman" w:hAnsi="Times New Roman" w:cs="Times New Roman"/>
          <w:sz w:val="28"/>
          <w:szCs w:val="28"/>
        </w:rPr>
      </w:pPr>
      <w:r w:rsidRPr="00E852D8">
        <w:rPr>
          <w:rFonts w:ascii="Times New Roman" w:hAnsi="Times New Roman" w:cs="Times New Roman"/>
          <w:sz w:val="28"/>
          <w:szCs w:val="28"/>
        </w:rPr>
        <w:t>Для определения линейных взаимосвязей между количественными показателями проводился корреляционный анализ с применением коэффициента корреляции Спирмена. С целью выявления зависимостей исхода от различных показателей и определения предикторов применялся линейный регрессионный анализ с расчётом коэффициента регрессии B и p-значения. При p &lt; 0,05 нулевая гипотеза об отсутствии зависимости между предиктором и исходом отклонялась.</w:t>
      </w:r>
    </w:p>
    <w:p w:rsidR="00262BBD" w:rsidRDefault="00E9641E" w:rsidP="0022127A">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b/>
          <w:color w:val="000000" w:themeColor="text1"/>
          <w:sz w:val="28"/>
          <w:szCs w:val="28"/>
          <w:shd w:val="clear" w:color="auto" w:fill="FFFFFF"/>
        </w:rPr>
        <w:t>Выводы</w:t>
      </w:r>
    </w:p>
    <w:p w:rsidR="00AE0B5E" w:rsidRPr="00B05FA2" w:rsidRDefault="00AE0B5E" w:rsidP="0022127A">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sidRPr="00B05FA2">
        <w:rPr>
          <w:rFonts w:ascii="Times New Roman" w:hAnsi="Times New Roman" w:cs="Times New Roman"/>
          <w:sz w:val="28"/>
          <w:szCs w:val="28"/>
        </w:rPr>
        <w:t>Проведённый систематический обзор исследований подтвердил значимость молекулярной аллергодиагностики в определении полисенсибилизации, оптимальном подборе аллергенов для АСИТ, таким образом, оказывая существенное влияние на эффективность и исходы АСИТ.</w:t>
      </w:r>
    </w:p>
    <w:p w:rsidR="00AE0B5E" w:rsidRPr="00E52B32" w:rsidRDefault="00AE0B5E" w:rsidP="0022127A">
      <w:pPr>
        <w:numPr>
          <w:ilvl w:val="0"/>
          <w:numId w:val="3"/>
        </w:numPr>
        <w:tabs>
          <w:tab w:val="left" w:pos="284"/>
          <w:tab w:val="left" w:pos="851"/>
        </w:tabs>
        <w:spacing w:after="0" w:line="240" w:lineRule="auto"/>
        <w:ind w:left="0" w:firstLine="556"/>
        <w:contextualSpacing/>
        <w:jc w:val="both"/>
        <w:rPr>
          <w:rFonts w:ascii="Times New Roman" w:hAnsi="Times New Roman" w:cs="Times New Roman"/>
          <w:sz w:val="28"/>
          <w:szCs w:val="28"/>
        </w:rPr>
      </w:pPr>
      <w:r w:rsidRPr="00B05FA2">
        <w:rPr>
          <w:rFonts w:ascii="Times New Roman" w:hAnsi="Times New Roman" w:cs="Times New Roman"/>
          <w:sz w:val="28"/>
          <w:szCs w:val="28"/>
        </w:rPr>
        <w:t xml:space="preserve">Результаты рандомизированного клинического исследования продемонстрировали, что сочетание АСИТ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ом существенно улучшает кл</w:t>
      </w:r>
      <w:r>
        <w:rPr>
          <w:rFonts w:ascii="Times New Roman" w:hAnsi="Times New Roman" w:cs="Times New Roman"/>
          <w:sz w:val="28"/>
          <w:szCs w:val="28"/>
        </w:rPr>
        <w:t xml:space="preserve">инические исходы по сравнению со стандартной </w:t>
      </w:r>
      <w:r w:rsidRPr="00B05FA2">
        <w:rPr>
          <w:rFonts w:ascii="Times New Roman" w:hAnsi="Times New Roman" w:cs="Times New Roman"/>
          <w:sz w:val="28"/>
          <w:szCs w:val="28"/>
        </w:rPr>
        <w:t>схемой АСИТ. Это подтверждается клинико-лабораторными показателями: снижение общего балла симптомов тяжести (6 баллов против 9 баллов,</w:t>
      </w:r>
      <w:r w:rsidRPr="00126F25">
        <w:rPr>
          <w:rFonts w:ascii="Times New Roman" w:hAnsi="Times New Roman" w:cs="Times New Roman"/>
          <w:sz w:val="28"/>
          <w:szCs w:val="28"/>
        </w:rPr>
        <w:t xml:space="preserve"> </w:t>
      </w:r>
      <w:r w:rsidRPr="00126F25">
        <w:rPr>
          <w:rFonts w:ascii="Times New Roman" w:hAnsi="Times New Roman" w:cs="Times New Roman"/>
          <w:sz w:val="28"/>
          <w:szCs w:val="28"/>
          <w:lang w:val="en-US"/>
        </w:rPr>
        <w:t>p</w:t>
      </w:r>
      <w:r w:rsidRPr="00126F25">
        <w:rPr>
          <w:rFonts w:ascii="Times New Roman" w:hAnsi="Times New Roman" w:cs="Times New Roman"/>
          <w:sz w:val="28"/>
          <w:szCs w:val="28"/>
        </w:rPr>
        <w:t>&lt;0,001</w:t>
      </w:r>
      <w:r w:rsidRPr="00B05FA2">
        <w:rPr>
          <w:rFonts w:ascii="Times New Roman" w:hAnsi="Times New Roman" w:cs="Times New Roman"/>
          <w:sz w:val="28"/>
          <w:szCs w:val="28"/>
        </w:rPr>
        <w:t>), улучшение общего балла качества жизни (7 баллов против 9,5 баллов, p&lt;0,001), уменьшение концентрации ЭКБ (32,6 нг/мл против 40,4 нг/мл, p&lt;0,001), а также общего уровня IgE (209,6 Ед/мл против 299,7 Ед/мл, p=0,009). В группе вмешательства концентрация 25(ОН)D увеличилась до оптимального уровня после завершения лечения, в то время как в контрольной группе уровень 25(ОН)D продолжал снижаться (37,4 нг/л против 13,5 нг/л, p&lt;0,001).</w:t>
      </w:r>
      <w:r>
        <w:rPr>
          <w:rFonts w:ascii="Times New Roman" w:hAnsi="Times New Roman" w:cs="Times New Roman"/>
          <w:sz w:val="28"/>
          <w:szCs w:val="28"/>
        </w:rPr>
        <w:t xml:space="preserve"> </w:t>
      </w:r>
      <w:r w:rsidRPr="00E52B32">
        <w:rPr>
          <w:rFonts w:ascii="Times New Roman" w:hAnsi="Times New Roman" w:cs="Times New Roman"/>
          <w:sz w:val="28"/>
          <w:szCs w:val="28"/>
        </w:rPr>
        <w:t>В обеих группах</w:t>
      </w:r>
      <w:r>
        <w:rPr>
          <w:rFonts w:ascii="Times New Roman" w:hAnsi="Times New Roman" w:cs="Times New Roman"/>
          <w:sz w:val="28"/>
          <w:szCs w:val="28"/>
        </w:rPr>
        <w:t xml:space="preserve"> АСИТ</w:t>
      </w:r>
      <w:r w:rsidRPr="00E52B32">
        <w:rPr>
          <w:rFonts w:ascii="Times New Roman" w:hAnsi="Times New Roman" w:cs="Times New Roman"/>
          <w:sz w:val="28"/>
          <w:szCs w:val="28"/>
        </w:rPr>
        <w:t xml:space="preserve"> не наблюдалось серьёзных нежелательных реакций.</w:t>
      </w:r>
    </w:p>
    <w:p w:rsidR="00AE0B5E" w:rsidRPr="00B05FA2" w:rsidRDefault="00AE0B5E" w:rsidP="0022127A">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sidRPr="00B05FA2">
        <w:rPr>
          <w:rFonts w:ascii="Times New Roman" w:hAnsi="Times New Roman" w:cs="Times New Roman"/>
          <w:sz w:val="28"/>
          <w:szCs w:val="28"/>
        </w:rPr>
        <w:t>Прогностически значимыми лабораторными маркерами, предсказывающими эффективность АСИТ, являются уровни 25(ОН)D</w:t>
      </w:r>
      <w:r>
        <w:rPr>
          <w:rFonts w:ascii="Times New Roman" w:hAnsi="Times New Roman" w:cs="Times New Roman"/>
          <w:sz w:val="28"/>
          <w:szCs w:val="28"/>
        </w:rPr>
        <w:t xml:space="preserve"> (</w:t>
      </w:r>
      <w:r>
        <w:rPr>
          <w:rFonts w:ascii="Times New Roman" w:hAnsi="Times New Roman" w:cs="Times New Roman"/>
          <w:sz w:val="28"/>
          <w:szCs w:val="28"/>
          <w:lang w:val="en-US"/>
        </w:rPr>
        <w:t>r</w:t>
      </w:r>
      <w:r w:rsidRPr="006A0F13">
        <w:rPr>
          <w:rFonts w:ascii="Times New Roman" w:hAnsi="Times New Roman" w:cs="Times New Roman"/>
          <w:sz w:val="28"/>
          <w:szCs w:val="28"/>
        </w:rPr>
        <w:t>=</w:t>
      </w:r>
      <w:r w:rsidRPr="002B38CD">
        <w:rPr>
          <w:rFonts w:ascii="Times New Roman" w:hAnsi="Times New Roman" w:cs="Times New Roman"/>
          <w:sz w:val="28"/>
          <w:szCs w:val="28"/>
        </w:rPr>
        <w:t>-0,83</w:t>
      </w:r>
      <w:r w:rsidRPr="006A0F13">
        <w:rPr>
          <w:rFonts w:ascii="Times New Roman" w:hAnsi="Times New Roman" w:cs="Times New Roman"/>
          <w:sz w:val="28"/>
          <w:szCs w:val="28"/>
        </w:rPr>
        <w:t>)</w:t>
      </w:r>
      <w:r w:rsidRPr="00B05FA2">
        <w:rPr>
          <w:rFonts w:ascii="Times New Roman" w:hAnsi="Times New Roman" w:cs="Times New Roman"/>
          <w:sz w:val="28"/>
          <w:szCs w:val="28"/>
        </w:rPr>
        <w:t xml:space="preserve"> и общего </w:t>
      </w:r>
      <w:r>
        <w:rPr>
          <w:rFonts w:ascii="Times New Roman" w:hAnsi="Times New Roman" w:cs="Times New Roman"/>
          <w:sz w:val="28"/>
          <w:szCs w:val="28"/>
        </w:rPr>
        <w:t>IgE</w:t>
      </w:r>
      <w:r w:rsidRPr="006A0F1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r</w:t>
      </w:r>
      <w:r w:rsidRPr="006A0F13">
        <w:rPr>
          <w:rFonts w:ascii="Times New Roman" w:hAnsi="Times New Roman" w:cs="Times New Roman"/>
          <w:sz w:val="28"/>
          <w:szCs w:val="28"/>
        </w:rPr>
        <w:t>=</w:t>
      </w:r>
      <w:r>
        <w:rPr>
          <w:rFonts w:ascii="Times New Roman" w:hAnsi="Times New Roman" w:cs="Times New Roman"/>
          <w:sz w:val="28"/>
          <w:szCs w:val="28"/>
        </w:rPr>
        <w:t>0,89</w:t>
      </w:r>
      <w:r w:rsidRPr="006A0F13">
        <w:rPr>
          <w:rFonts w:ascii="Times New Roman" w:hAnsi="Times New Roman" w:cs="Times New Roman"/>
          <w:sz w:val="28"/>
          <w:szCs w:val="28"/>
        </w:rPr>
        <w:t>)</w:t>
      </w:r>
      <w:r>
        <w:rPr>
          <w:rFonts w:ascii="Times New Roman" w:hAnsi="Times New Roman" w:cs="Times New Roman"/>
          <w:sz w:val="28"/>
          <w:szCs w:val="28"/>
        </w:rPr>
        <w:t xml:space="preserve">.  </w:t>
      </w:r>
    </w:p>
    <w:p w:rsidR="00AE0B5E" w:rsidRPr="00B05FA2" w:rsidRDefault="00AE0B5E" w:rsidP="0022127A">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sidRPr="00B05FA2">
        <w:rPr>
          <w:rFonts w:ascii="Times New Roman" w:hAnsi="Times New Roman" w:cs="Times New Roman"/>
          <w:sz w:val="28"/>
          <w:szCs w:val="28"/>
        </w:rPr>
        <w:t xml:space="preserve">Разработанный клинико-диагностический алгоритм менеджмента аллергического ринита продемонстрировал эффективность аллерген-специфической иммунотерапии в комплексе с </w:t>
      </w:r>
      <w:r>
        <w:rPr>
          <w:rFonts w:ascii="Times New Roman" w:hAnsi="Times New Roman" w:cs="Times New Roman"/>
          <w:sz w:val="28"/>
          <w:szCs w:val="28"/>
        </w:rPr>
        <w:t>холекальциферол</w:t>
      </w:r>
      <w:r w:rsidRPr="00B05FA2">
        <w:rPr>
          <w:rFonts w:ascii="Times New Roman" w:hAnsi="Times New Roman" w:cs="Times New Roman"/>
          <w:sz w:val="28"/>
          <w:szCs w:val="28"/>
        </w:rPr>
        <w:t xml:space="preserve">ом </w:t>
      </w:r>
      <w:r>
        <w:rPr>
          <w:rFonts w:ascii="Times New Roman" w:hAnsi="Times New Roman" w:cs="Times New Roman"/>
          <w:sz w:val="28"/>
          <w:szCs w:val="28"/>
        </w:rPr>
        <w:t>в виде клинического улучшения, за счёт снижения</w:t>
      </w:r>
      <w:r w:rsidRPr="00B05FA2">
        <w:rPr>
          <w:rFonts w:ascii="Times New Roman" w:hAnsi="Times New Roman" w:cs="Times New Roman"/>
          <w:sz w:val="28"/>
          <w:szCs w:val="28"/>
        </w:rPr>
        <w:t xml:space="preserve"> балл</w:t>
      </w:r>
      <w:r>
        <w:rPr>
          <w:rFonts w:ascii="Times New Roman" w:hAnsi="Times New Roman" w:cs="Times New Roman"/>
          <w:sz w:val="28"/>
          <w:szCs w:val="28"/>
        </w:rPr>
        <w:t>а</w:t>
      </w:r>
      <w:r w:rsidRPr="00B05FA2">
        <w:rPr>
          <w:rFonts w:ascii="Times New Roman" w:hAnsi="Times New Roman" w:cs="Times New Roman"/>
          <w:sz w:val="28"/>
          <w:szCs w:val="28"/>
        </w:rPr>
        <w:t xml:space="preserve"> симптомов тяжести </w:t>
      </w:r>
      <w:r>
        <w:rPr>
          <w:rFonts w:ascii="Times New Roman" w:hAnsi="Times New Roman" w:cs="Times New Roman"/>
          <w:sz w:val="28"/>
          <w:szCs w:val="28"/>
        </w:rPr>
        <w:t>с 11 до 6 баллов (p&lt;0,001),</w:t>
      </w:r>
      <w:r w:rsidRPr="00B05FA2">
        <w:rPr>
          <w:rFonts w:ascii="Times New Roman" w:hAnsi="Times New Roman" w:cs="Times New Roman"/>
          <w:sz w:val="28"/>
          <w:szCs w:val="28"/>
        </w:rPr>
        <w:t xml:space="preserve"> общ</w:t>
      </w:r>
      <w:r>
        <w:rPr>
          <w:rFonts w:ascii="Times New Roman" w:hAnsi="Times New Roman" w:cs="Times New Roman"/>
          <w:sz w:val="28"/>
          <w:szCs w:val="28"/>
        </w:rPr>
        <w:t>его</w:t>
      </w:r>
      <w:r w:rsidRPr="00B05FA2">
        <w:rPr>
          <w:rFonts w:ascii="Times New Roman" w:hAnsi="Times New Roman" w:cs="Times New Roman"/>
          <w:sz w:val="28"/>
          <w:szCs w:val="28"/>
        </w:rPr>
        <w:t xml:space="preserve"> </w:t>
      </w:r>
      <w:r w:rsidRPr="00B05FA2">
        <w:rPr>
          <w:rFonts w:ascii="Times New Roman" w:hAnsi="Times New Roman" w:cs="Times New Roman"/>
          <w:sz w:val="28"/>
          <w:szCs w:val="28"/>
          <w:lang w:val="en-US"/>
        </w:rPr>
        <w:t>IgE</w:t>
      </w:r>
      <w:r w:rsidRPr="00B05FA2">
        <w:rPr>
          <w:rFonts w:ascii="Times New Roman" w:hAnsi="Times New Roman" w:cs="Times New Roman"/>
          <w:sz w:val="28"/>
          <w:szCs w:val="28"/>
        </w:rPr>
        <w:t xml:space="preserve"> с 375,3 </w:t>
      </w:r>
      <w:r>
        <w:rPr>
          <w:rFonts w:ascii="Times New Roman" w:hAnsi="Times New Roman" w:cs="Times New Roman"/>
          <w:sz w:val="28"/>
          <w:szCs w:val="28"/>
        </w:rPr>
        <w:t>Ед/мл до 209,6 Ед/мл (p&lt;0,001) и повышения</w:t>
      </w:r>
      <w:r w:rsidRPr="00B05FA2">
        <w:rPr>
          <w:rFonts w:ascii="Times New Roman" w:hAnsi="Times New Roman" w:cs="Times New Roman"/>
          <w:sz w:val="28"/>
          <w:szCs w:val="28"/>
        </w:rPr>
        <w:t xml:space="preserve"> концентраци</w:t>
      </w:r>
      <w:r>
        <w:rPr>
          <w:rFonts w:ascii="Times New Roman" w:hAnsi="Times New Roman" w:cs="Times New Roman"/>
          <w:sz w:val="28"/>
          <w:szCs w:val="28"/>
        </w:rPr>
        <w:t>и</w:t>
      </w:r>
      <w:r w:rsidRPr="00B05FA2">
        <w:rPr>
          <w:rFonts w:ascii="Times New Roman" w:hAnsi="Times New Roman" w:cs="Times New Roman"/>
          <w:sz w:val="28"/>
          <w:szCs w:val="28"/>
        </w:rPr>
        <w:t xml:space="preserve"> 25(ОН)D с 16,</w:t>
      </w:r>
      <w:r>
        <w:rPr>
          <w:rFonts w:ascii="Times New Roman" w:hAnsi="Times New Roman" w:cs="Times New Roman"/>
          <w:sz w:val="28"/>
          <w:szCs w:val="28"/>
        </w:rPr>
        <w:t>8</w:t>
      </w:r>
      <w:r w:rsidRPr="00B05FA2">
        <w:rPr>
          <w:rFonts w:ascii="Times New Roman" w:hAnsi="Times New Roman" w:cs="Times New Roman"/>
          <w:sz w:val="28"/>
          <w:szCs w:val="28"/>
        </w:rPr>
        <w:t xml:space="preserve"> нг/мл до 37,</w:t>
      </w:r>
      <w:r>
        <w:rPr>
          <w:rFonts w:ascii="Times New Roman" w:hAnsi="Times New Roman" w:cs="Times New Roman"/>
          <w:sz w:val="28"/>
          <w:szCs w:val="28"/>
        </w:rPr>
        <w:t>4</w:t>
      </w:r>
      <w:r w:rsidRPr="00B05FA2">
        <w:rPr>
          <w:rFonts w:ascii="Times New Roman" w:hAnsi="Times New Roman" w:cs="Times New Roman"/>
          <w:sz w:val="28"/>
          <w:szCs w:val="28"/>
        </w:rPr>
        <w:t xml:space="preserve"> нг/мл (p&lt;0,001).</w:t>
      </w:r>
    </w:p>
    <w:p w:rsidR="006F4B27" w:rsidRDefault="006F4B27" w:rsidP="0022127A">
      <w:pPr>
        <w:spacing w:after="0" w:line="240" w:lineRule="auto"/>
        <w:ind w:firstLine="567"/>
        <w:rPr>
          <w:rFonts w:ascii="Times New Roman" w:hAnsi="Times New Roman"/>
          <w:b/>
          <w:sz w:val="28"/>
          <w:szCs w:val="28"/>
        </w:rPr>
      </w:pPr>
    </w:p>
    <w:p w:rsidR="00262BBD" w:rsidRDefault="00002324" w:rsidP="0022127A">
      <w:pPr>
        <w:spacing w:after="0" w:line="240" w:lineRule="auto"/>
        <w:ind w:firstLine="567"/>
        <w:rPr>
          <w:rFonts w:ascii="Times New Roman" w:hAnsi="Times New Roman"/>
          <w:b/>
          <w:sz w:val="28"/>
          <w:szCs w:val="28"/>
        </w:rPr>
      </w:pPr>
      <w:r>
        <w:rPr>
          <w:rFonts w:ascii="Times New Roman" w:hAnsi="Times New Roman"/>
          <w:b/>
          <w:sz w:val="28"/>
          <w:szCs w:val="28"/>
        </w:rPr>
        <w:t>Список литературы</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Pr>
          <w:rFonts w:ascii="Times New Roman" w:hAnsi="Times New Roman" w:cs="Times New Roman"/>
          <w:sz w:val="28"/>
          <w:szCs w:val="28"/>
        </w:rPr>
        <w:fldChar w:fldCharType="begin" w:fldLock="1"/>
      </w:r>
      <w:r>
        <w:rPr>
          <w:rFonts w:ascii="Times New Roman" w:hAnsi="Times New Roman" w:cs="Times New Roman"/>
          <w:sz w:val="28"/>
          <w:szCs w:val="28"/>
        </w:rPr>
        <w:instrText xml:space="preserve">ADDIN Mendeley Bibliography CSL_BIBLIOGRAPHY </w:instrText>
      </w:r>
      <w:r>
        <w:rPr>
          <w:rFonts w:ascii="Times New Roman" w:hAnsi="Times New Roman" w:cs="Times New Roman"/>
          <w:sz w:val="28"/>
          <w:szCs w:val="28"/>
        </w:rPr>
        <w:fldChar w:fldCharType="separate"/>
      </w:r>
      <w:r w:rsidRPr="00AE0B5E">
        <w:rPr>
          <w:rFonts w:ascii="Times New Roman" w:hAnsi="Times New Roman" w:cs="Times New Roman"/>
          <w:noProof/>
          <w:sz w:val="28"/>
          <w:szCs w:val="24"/>
        </w:rPr>
        <w:t>1.</w:t>
      </w:r>
      <w:r w:rsidRPr="00AE0B5E">
        <w:rPr>
          <w:rFonts w:ascii="Times New Roman" w:hAnsi="Times New Roman" w:cs="Times New Roman"/>
          <w:noProof/>
          <w:sz w:val="28"/>
          <w:szCs w:val="24"/>
        </w:rPr>
        <w:tab/>
        <w:t xml:space="preserve">Tsabouri S. et al. </w:t>
      </w:r>
      <w:r w:rsidRPr="00640F2A">
        <w:rPr>
          <w:rFonts w:ascii="Times New Roman" w:hAnsi="Times New Roman" w:cs="Times New Roman"/>
          <w:noProof/>
          <w:sz w:val="28"/>
          <w:szCs w:val="24"/>
          <w:lang w:val="en-US"/>
        </w:rPr>
        <w:t>Omalizumab for the Treatment of Inadequately Controlled Allergic Rhinitis: A Systematic Review and Meta-Analysis of Randomized Clinical Trials // J. Allergy Clin. Immunol. Pract. Elsevier Inc, 2014. Vol. 2, № 3. P. 332–340.</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2.</w:t>
      </w:r>
      <w:r w:rsidRPr="00640F2A">
        <w:rPr>
          <w:rFonts w:ascii="Times New Roman" w:hAnsi="Times New Roman" w:cs="Times New Roman"/>
          <w:noProof/>
          <w:sz w:val="28"/>
          <w:szCs w:val="24"/>
          <w:lang w:val="en-US"/>
        </w:rPr>
        <w:tab/>
        <w:t>Calderon M.A. et al. EAACI: A European Declaration on Immunotherapy. Designing the future of allergen specific immunotherapy // Clin. Transl. Allergy. 2012. Vol. 2, № 1. P. 20.</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lastRenderedPageBreak/>
        <w:t>3.</w:t>
      </w:r>
      <w:r w:rsidRPr="00640F2A">
        <w:rPr>
          <w:rFonts w:ascii="Times New Roman" w:hAnsi="Times New Roman" w:cs="Times New Roman"/>
          <w:noProof/>
          <w:sz w:val="28"/>
          <w:szCs w:val="24"/>
          <w:lang w:val="en-US"/>
        </w:rPr>
        <w:tab/>
        <w:t>Morjaria J.B. et al. Treatment of Allergic Rhinitis as a Strategy for Preventing Asthma // Curr. Allergy Asthma Rep. Current Allergy and Asthma Reports, 2018. Vol. 18, № 4. P. 23.</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40F2A">
        <w:rPr>
          <w:rFonts w:ascii="Times New Roman" w:hAnsi="Times New Roman" w:cs="Times New Roman"/>
          <w:noProof/>
          <w:sz w:val="28"/>
          <w:szCs w:val="24"/>
          <w:lang w:val="en-US"/>
        </w:rPr>
        <w:t>4.</w:t>
      </w:r>
      <w:r w:rsidRPr="00640F2A">
        <w:rPr>
          <w:rFonts w:ascii="Times New Roman" w:hAnsi="Times New Roman" w:cs="Times New Roman"/>
          <w:noProof/>
          <w:sz w:val="28"/>
          <w:szCs w:val="24"/>
          <w:lang w:val="en-US"/>
        </w:rPr>
        <w:tab/>
        <w:t xml:space="preserve">Jutel M. et al. International Consensus on Allergen Immunotherapy II: Mechanisms, standardization, and pharmacoeconomics // J. Allergy Clin. </w:t>
      </w:r>
      <w:r w:rsidRPr="00AE0B5E">
        <w:rPr>
          <w:rFonts w:ascii="Times New Roman" w:hAnsi="Times New Roman" w:cs="Times New Roman"/>
          <w:noProof/>
          <w:sz w:val="28"/>
          <w:szCs w:val="24"/>
        </w:rPr>
        <w:t>Immunol. 2016. Vol. 137, № 2. P. 358–368.</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AE0B5E">
        <w:rPr>
          <w:rFonts w:ascii="Times New Roman" w:hAnsi="Times New Roman" w:cs="Times New Roman"/>
          <w:noProof/>
          <w:sz w:val="28"/>
          <w:szCs w:val="24"/>
        </w:rPr>
        <w:t>5.</w:t>
      </w:r>
      <w:r w:rsidRPr="00AE0B5E">
        <w:rPr>
          <w:rFonts w:ascii="Times New Roman" w:hAnsi="Times New Roman" w:cs="Times New Roman"/>
          <w:noProof/>
          <w:sz w:val="28"/>
          <w:szCs w:val="24"/>
        </w:rPr>
        <w:tab/>
        <w:t xml:space="preserve">Плахина К.В., Минаева Н.В. Организационные аспекты сублингвальной аллергенспецифической иммунотерапии // Социальная медицина. </w:t>
      </w:r>
      <w:r w:rsidRPr="00640F2A">
        <w:rPr>
          <w:rFonts w:ascii="Times New Roman" w:hAnsi="Times New Roman" w:cs="Times New Roman"/>
          <w:noProof/>
          <w:sz w:val="28"/>
          <w:szCs w:val="24"/>
          <w:lang w:val="en-US"/>
        </w:rPr>
        <w:t>2016. Vol. 33, № 4. P. 82–86.</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6.</w:t>
      </w:r>
      <w:r w:rsidRPr="00640F2A">
        <w:rPr>
          <w:rFonts w:ascii="Times New Roman" w:hAnsi="Times New Roman" w:cs="Times New Roman"/>
          <w:noProof/>
          <w:sz w:val="28"/>
          <w:szCs w:val="24"/>
          <w:lang w:val="en-US"/>
        </w:rPr>
        <w:tab/>
        <w:t>Cox L. The role of allergen immunotherapy in the management of allergic rhinitis // Am. J. Rhinol. Allergy. 2016. Vol. 30, № 1. P. 48–53.</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7.</w:t>
      </w:r>
      <w:r w:rsidRPr="00640F2A">
        <w:rPr>
          <w:rFonts w:ascii="Times New Roman" w:hAnsi="Times New Roman" w:cs="Times New Roman"/>
          <w:noProof/>
          <w:sz w:val="28"/>
          <w:szCs w:val="24"/>
          <w:lang w:val="en-US"/>
        </w:rPr>
        <w:tab/>
        <w:t>Reddel H.K. et al. GINA 2019: a fundamental change in asthma management: Treatment of asthma with short-acting bronchodilators alone is no longer recommended for adults and adolescents // Eur. Respir. J. 2019. Vol. 53, № 6. P. 1–7.</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40F2A">
        <w:rPr>
          <w:rFonts w:ascii="Times New Roman" w:hAnsi="Times New Roman" w:cs="Times New Roman"/>
          <w:noProof/>
          <w:sz w:val="28"/>
          <w:szCs w:val="24"/>
          <w:lang w:val="en-US"/>
        </w:rPr>
        <w:t>8.</w:t>
      </w:r>
      <w:r w:rsidRPr="00640F2A">
        <w:rPr>
          <w:rFonts w:ascii="Times New Roman" w:hAnsi="Times New Roman" w:cs="Times New Roman"/>
          <w:noProof/>
          <w:sz w:val="28"/>
          <w:szCs w:val="24"/>
          <w:lang w:val="en-US"/>
        </w:rPr>
        <w:tab/>
        <w:t xml:space="preserve">Maspero J. et al. Quality of life and control of allergic rhinitis in patients from regions beyond western Europe and the United States // Clin. Exp. </w:t>
      </w:r>
      <w:r w:rsidRPr="00AE0B5E">
        <w:rPr>
          <w:rFonts w:ascii="Times New Roman" w:hAnsi="Times New Roman" w:cs="Times New Roman"/>
          <w:noProof/>
          <w:sz w:val="28"/>
          <w:szCs w:val="24"/>
        </w:rPr>
        <w:t>Allergy. 2012. Vol. 42, № 12. P. 1684–1696.</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9.</w:t>
      </w:r>
      <w:r w:rsidRPr="00AE0B5E">
        <w:rPr>
          <w:rFonts w:ascii="Times New Roman" w:hAnsi="Times New Roman" w:cs="Times New Roman"/>
          <w:noProof/>
          <w:sz w:val="28"/>
          <w:szCs w:val="24"/>
        </w:rPr>
        <w:tab/>
        <w:t>Насунова А.Ю. Эффективность различных методов аллерген-специфической иммунотерапии при бронхиальной астме и аллергическом рините: дис. ... канд. мед. наук: 14.03.09. - Москва, 2020. - 129 с.</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10.</w:t>
      </w:r>
      <w:r w:rsidRPr="00AE0B5E">
        <w:rPr>
          <w:rFonts w:ascii="Times New Roman" w:hAnsi="Times New Roman" w:cs="Times New Roman"/>
          <w:noProof/>
          <w:sz w:val="28"/>
          <w:szCs w:val="24"/>
        </w:rPr>
        <w:tab/>
        <w:t xml:space="preserve">Сновская М.А. et al. Диагностическое определение sIgE к аллергенам пыльцы деревьев тест- системой «Алкор-Био» и методом ImmunoCAP // Клиническая лабораторная диагностика. 2017. Vol. 62, № 4. </w:t>
      </w:r>
      <w:r w:rsidR="00893311">
        <w:rPr>
          <w:rFonts w:ascii="Times New Roman" w:hAnsi="Times New Roman" w:cs="Times New Roman"/>
          <w:noProof/>
          <w:sz w:val="28"/>
          <w:szCs w:val="24"/>
        </w:rPr>
        <w:t>С</w:t>
      </w:r>
      <w:r w:rsidRPr="00AE0B5E">
        <w:rPr>
          <w:rFonts w:ascii="Times New Roman" w:hAnsi="Times New Roman" w:cs="Times New Roman"/>
          <w:noProof/>
          <w:sz w:val="28"/>
          <w:szCs w:val="24"/>
        </w:rPr>
        <w:t>. 225–229.</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11.</w:t>
      </w:r>
      <w:r w:rsidRPr="00AE0B5E">
        <w:rPr>
          <w:rFonts w:ascii="Times New Roman" w:hAnsi="Times New Roman" w:cs="Times New Roman"/>
          <w:noProof/>
          <w:sz w:val="28"/>
          <w:szCs w:val="24"/>
        </w:rPr>
        <w:tab/>
        <w:t xml:space="preserve">Нурпеисов Т.Т. Аллергология казахстана: успехи и перспективы // Вестник КазНМУ. 2017. № 4. </w:t>
      </w:r>
      <w:r w:rsidR="00893311">
        <w:rPr>
          <w:rFonts w:ascii="Times New Roman" w:hAnsi="Times New Roman" w:cs="Times New Roman"/>
          <w:noProof/>
          <w:sz w:val="28"/>
          <w:szCs w:val="24"/>
        </w:rPr>
        <w:t>С</w:t>
      </w:r>
      <w:r w:rsidRPr="00AE0B5E">
        <w:rPr>
          <w:rFonts w:ascii="Times New Roman" w:hAnsi="Times New Roman" w:cs="Times New Roman"/>
          <w:noProof/>
          <w:sz w:val="28"/>
          <w:szCs w:val="24"/>
        </w:rPr>
        <w:t>. 416–418.</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12.</w:t>
      </w:r>
      <w:r w:rsidRPr="00AE0B5E">
        <w:rPr>
          <w:rFonts w:ascii="Times New Roman" w:hAnsi="Times New Roman" w:cs="Times New Roman"/>
          <w:noProof/>
          <w:sz w:val="28"/>
          <w:szCs w:val="24"/>
        </w:rPr>
        <w:tab/>
        <w:t xml:space="preserve">Дикарева Т.В., Румянцев В.Ю., Щербакова В.В. Распространение аллергенных растений на территории России и Казахстана: проблемы изучения и некоторые результаты // Экосистемы экология и динамика. 2019. Vol. 3, № 4. </w:t>
      </w:r>
      <w:r w:rsidR="00893311">
        <w:rPr>
          <w:rFonts w:ascii="Times New Roman" w:hAnsi="Times New Roman" w:cs="Times New Roman"/>
          <w:noProof/>
          <w:sz w:val="28"/>
          <w:szCs w:val="24"/>
        </w:rPr>
        <w:t>С</w:t>
      </w:r>
      <w:r w:rsidRPr="00AE0B5E">
        <w:rPr>
          <w:rFonts w:ascii="Times New Roman" w:hAnsi="Times New Roman" w:cs="Times New Roman"/>
          <w:noProof/>
          <w:sz w:val="28"/>
          <w:szCs w:val="24"/>
        </w:rPr>
        <w:t>. 99–132.</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13.</w:t>
      </w:r>
      <w:r w:rsidRPr="00AE0B5E">
        <w:rPr>
          <w:rFonts w:ascii="Times New Roman" w:hAnsi="Times New Roman" w:cs="Times New Roman"/>
          <w:noProof/>
          <w:sz w:val="28"/>
          <w:szCs w:val="24"/>
        </w:rPr>
        <w:tab/>
        <w:t xml:space="preserve">Семенова И.В., Выхристенко Л.Р. Комплексная оценка клинической эффективности при пыльцевой аллергии // Вестник ВГМУ. 2014. Vol. 13, № 1. </w:t>
      </w:r>
      <w:r w:rsidR="00893311">
        <w:rPr>
          <w:rFonts w:ascii="Times New Roman" w:hAnsi="Times New Roman" w:cs="Times New Roman"/>
          <w:noProof/>
          <w:sz w:val="28"/>
          <w:szCs w:val="24"/>
        </w:rPr>
        <w:t>С</w:t>
      </w:r>
      <w:r w:rsidRPr="00AE0B5E">
        <w:rPr>
          <w:rFonts w:ascii="Times New Roman" w:hAnsi="Times New Roman" w:cs="Times New Roman"/>
          <w:noProof/>
          <w:sz w:val="28"/>
          <w:szCs w:val="24"/>
        </w:rPr>
        <w:t>. 91–97.</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14.</w:t>
      </w:r>
      <w:r w:rsidRPr="00AE0B5E">
        <w:rPr>
          <w:rFonts w:ascii="Times New Roman" w:hAnsi="Times New Roman" w:cs="Times New Roman"/>
          <w:noProof/>
          <w:sz w:val="28"/>
          <w:szCs w:val="24"/>
        </w:rPr>
        <w:tab/>
        <w:t xml:space="preserve">Кунельская Н.Л., Лучшева Ю.В., Г.Н. И. Аллергический ринит как одна из граней поллиноза // Медицинский совет. 2015. Vol. 3. </w:t>
      </w:r>
      <w:r w:rsidR="00893311">
        <w:rPr>
          <w:rFonts w:ascii="Times New Roman" w:hAnsi="Times New Roman" w:cs="Times New Roman"/>
          <w:noProof/>
          <w:sz w:val="28"/>
          <w:szCs w:val="24"/>
        </w:rPr>
        <w:t>С</w:t>
      </w:r>
      <w:r w:rsidRPr="00AE0B5E">
        <w:rPr>
          <w:rFonts w:ascii="Times New Roman" w:hAnsi="Times New Roman" w:cs="Times New Roman"/>
          <w:noProof/>
          <w:sz w:val="28"/>
          <w:szCs w:val="24"/>
        </w:rPr>
        <w:t>. 28–34.</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AE0B5E">
        <w:rPr>
          <w:rFonts w:ascii="Times New Roman" w:hAnsi="Times New Roman" w:cs="Times New Roman"/>
          <w:noProof/>
          <w:sz w:val="28"/>
          <w:szCs w:val="24"/>
        </w:rPr>
        <w:t>15.</w:t>
      </w:r>
      <w:r w:rsidRPr="00AE0B5E">
        <w:rPr>
          <w:rFonts w:ascii="Times New Roman" w:hAnsi="Times New Roman" w:cs="Times New Roman"/>
          <w:noProof/>
          <w:sz w:val="28"/>
          <w:szCs w:val="24"/>
        </w:rPr>
        <w:tab/>
        <w:t xml:space="preserve">Рязанцев С.В., Гончаров О.И. Аллергический ринит // Медицинский совет. </w:t>
      </w:r>
      <w:r w:rsidRPr="00640F2A">
        <w:rPr>
          <w:rFonts w:ascii="Times New Roman" w:hAnsi="Times New Roman" w:cs="Times New Roman"/>
          <w:noProof/>
          <w:sz w:val="28"/>
          <w:szCs w:val="24"/>
          <w:lang w:val="en-US"/>
        </w:rPr>
        <w:t xml:space="preserve">2018. № 20. </w:t>
      </w:r>
      <w:r w:rsidR="00893311">
        <w:rPr>
          <w:rFonts w:ascii="Times New Roman" w:hAnsi="Times New Roman" w:cs="Times New Roman"/>
          <w:noProof/>
          <w:sz w:val="28"/>
          <w:szCs w:val="24"/>
        </w:rPr>
        <w:t>С</w:t>
      </w:r>
      <w:r w:rsidRPr="00640F2A">
        <w:rPr>
          <w:rFonts w:ascii="Times New Roman" w:hAnsi="Times New Roman" w:cs="Times New Roman"/>
          <w:noProof/>
          <w:sz w:val="28"/>
          <w:szCs w:val="24"/>
          <w:lang w:val="en-US"/>
        </w:rPr>
        <w:t>. 76–79.</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16.</w:t>
      </w:r>
      <w:r w:rsidRPr="00640F2A">
        <w:rPr>
          <w:rFonts w:ascii="Times New Roman" w:hAnsi="Times New Roman" w:cs="Times New Roman"/>
          <w:noProof/>
          <w:sz w:val="28"/>
          <w:szCs w:val="24"/>
          <w:lang w:val="en-US"/>
        </w:rPr>
        <w:tab/>
        <w:t>Thakkar B. et al. Deficiency of vitamin D in allergic rhinitis: A possible factor in multifactorial disease // Clin. Rhinol. 2014. Vol. 7, № 3. P. 112–116.</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17.</w:t>
      </w:r>
      <w:r w:rsidRPr="00640F2A">
        <w:rPr>
          <w:rFonts w:ascii="Times New Roman" w:hAnsi="Times New Roman" w:cs="Times New Roman"/>
          <w:noProof/>
          <w:sz w:val="28"/>
          <w:szCs w:val="24"/>
          <w:lang w:val="en-US"/>
        </w:rPr>
        <w:tab/>
        <w:t>Gromova O. et al. Vitamin D deficiency in Kazakhstan: Cross-Sectional study // J. Steroid Biochem. Mol. Biol. Elsevier Ltd, 2020. Vol. 199, № 19. P. 105565.</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18.</w:t>
      </w:r>
      <w:r w:rsidRPr="00640F2A">
        <w:rPr>
          <w:rFonts w:ascii="Times New Roman" w:hAnsi="Times New Roman" w:cs="Times New Roman"/>
          <w:noProof/>
          <w:sz w:val="28"/>
          <w:szCs w:val="24"/>
          <w:lang w:val="en-US"/>
        </w:rPr>
        <w:tab/>
        <w:t>Casale T.B. et al. Safety Review of 5-Grass Pollen Tablet from Pooled Data of Clinical Trials // J. Allergy Clin. Immunol. Pract. Elsevier Inc, 2017. Vol. 5, № 6. P. 1717-1727.e1.</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lastRenderedPageBreak/>
        <w:t>19.</w:t>
      </w:r>
      <w:r w:rsidRPr="00640F2A">
        <w:rPr>
          <w:rFonts w:ascii="Times New Roman" w:hAnsi="Times New Roman" w:cs="Times New Roman"/>
          <w:noProof/>
          <w:sz w:val="28"/>
          <w:szCs w:val="24"/>
          <w:lang w:val="en-US"/>
        </w:rPr>
        <w:tab/>
        <w:t>Banerjee K. et al. Homeopathy for Allergic Rhinitis: A Systematic Review // J. Altern. Complement. Med. 2017. Vol. 23, № 6. P. 426–444.</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20.</w:t>
      </w:r>
      <w:r w:rsidRPr="00640F2A">
        <w:rPr>
          <w:rFonts w:ascii="Times New Roman" w:hAnsi="Times New Roman" w:cs="Times New Roman"/>
          <w:noProof/>
          <w:sz w:val="28"/>
          <w:szCs w:val="24"/>
          <w:lang w:val="en-US"/>
        </w:rPr>
        <w:tab/>
        <w:t>Durham S.R. et al. Treatment effect of sublingual immunotherapy tablets and pharmacotherapies for seasonal and perennial allergic rhinitis: Pooled analyses // J. Allergy Clin. Immunol. Elsevier Inc., 2016. Vol. 138, № 4. P. 1081-1088.e4.</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21.</w:t>
      </w:r>
      <w:r w:rsidRPr="00640F2A">
        <w:rPr>
          <w:rFonts w:ascii="Times New Roman" w:hAnsi="Times New Roman" w:cs="Times New Roman"/>
          <w:noProof/>
          <w:sz w:val="28"/>
          <w:szCs w:val="24"/>
          <w:lang w:val="en-US"/>
        </w:rPr>
        <w:tab/>
        <w:t>Senti G. et al. Intralymphatic Immunotherapy: Update and Unmet Needs // Int. Arch. Allergy Immunol. 2019. Vol. 178, № 2. P. 141–149.</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22.</w:t>
      </w:r>
      <w:r w:rsidRPr="00640F2A">
        <w:rPr>
          <w:rFonts w:ascii="Times New Roman" w:hAnsi="Times New Roman" w:cs="Times New Roman"/>
          <w:noProof/>
          <w:sz w:val="28"/>
          <w:szCs w:val="24"/>
          <w:lang w:val="en-US"/>
        </w:rPr>
        <w:tab/>
        <w:t>Larsson O. et al. Novel strategies for the treatment of grass pollen-induced allergic rhinitis // Expert Opin. Biol. Ther. 2016. Vol. 16, № 9. P. 1143–1150.</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23.</w:t>
      </w:r>
      <w:r w:rsidRPr="00640F2A">
        <w:rPr>
          <w:rFonts w:ascii="Times New Roman" w:hAnsi="Times New Roman" w:cs="Times New Roman"/>
          <w:noProof/>
          <w:sz w:val="28"/>
          <w:szCs w:val="24"/>
          <w:lang w:val="en-US"/>
        </w:rPr>
        <w:tab/>
        <w:t>Brożek J.L. et al. Allergic Rhinitis and its Impact on Asthma (ARIA) guidelines—2016 revision // J. Allergy Clin. Immunol. 2017. Vol. 140, № 4. P. 950–958.</w:t>
      </w:r>
    </w:p>
    <w:p w:rsidR="00AE0B5E" w:rsidRPr="00640F2A"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40F2A">
        <w:rPr>
          <w:rFonts w:ascii="Times New Roman" w:hAnsi="Times New Roman" w:cs="Times New Roman"/>
          <w:noProof/>
          <w:sz w:val="28"/>
          <w:szCs w:val="24"/>
          <w:lang w:val="en-US"/>
        </w:rPr>
        <w:t>24.</w:t>
      </w:r>
      <w:r w:rsidRPr="00640F2A">
        <w:rPr>
          <w:rFonts w:ascii="Times New Roman" w:hAnsi="Times New Roman" w:cs="Times New Roman"/>
          <w:noProof/>
          <w:sz w:val="28"/>
          <w:szCs w:val="24"/>
          <w:lang w:val="en-US"/>
        </w:rPr>
        <w:tab/>
        <w:t>Erskine J. et al. A Retrospective Clinical Audit of the ImmunoCAP ISAC 112 for Multiplex Allergen Testing // Int. Arch. Allergy Immunol. 2021. Vol. 182, № 1. P. 14–20.</w:t>
      </w:r>
    </w:p>
    <w:p w:rsidR="00AE0B5E" w:rsidRPr="00AE0B5E" w:rsidRDefault="00AE0B5E" w:rsidP="006F4B27">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rPr>
      </w:pPr>
      <w:r w:rsidRPr="00640F2A">
        <w:rPr>
          <w:rFonts w:ascii="Times New Roman" w:hAnsi="Times New Roman" w:cs="Times New Roman"/>
          <w:noProof/>
          <w:sz w:val="28"/>
          <w:szCs w:val="24"/>
          <w:lang w:val="en-US"/>
        </w:rPr>
        <w:t>25.</w:t>
      </w:r>
      <w:r w:rsidRPr="00640F2A">
        <w:rPr>
          <w:rFonts w:ascii="Times New Roman" w:hAnsi="Times New Roman" w:cs="Times New Roman"/>
          <w:noProof/>
          <w:sz w:val="28"/>
          <w:szCs w:val="24"/>
          <w:lang w:val="en-US"/>
        </w:rPr>
        <w:tab/>
        <w:t xml:space="preserve">Izmailovich M.R. et al. Allergen-specific immunotherapy in combination with vitamin D in patients with seasonal allergic rhinitis // Russ. </w:t>
      </w:r>
      <w:r w:rsidRPr="00AE0B5E">
        <w:rPr>
          <w:rFonts w:ascii="Times New Roman" w:hAnsi="Times New Roman" w:cs="Times New Roman"/>
          <w:noProof/>
          <w:sz w:val="28"/>
          <w:szCs w:val="24"/>
        </w:rPr>
        <w:t>Open Med. J. 2022. Vol. 11, № 2. P. 1–7.</w:t>
      </w:r>
    </w:p>
    <w:p w:rsidR="00262BBD" w:rsidRDefault="00AE0B5E" w:rsidP="006F4B27">
      <w:pPr>
        <w:tabs>
          <w:tab w:val="left" w:pos="880"/>
          <w:tab w:val="left" w:pos="993"/>
        </w:tabs>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fldChar w:fldCharType="end"/>
      </w:r>
    </w:p>
    <w:sectPr w:rsidR="00262BB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980" w:rsidRDefault="00B17980">
      <w:pPr>
        <w:spacing w:line="240" w:lineRule="auto"/>
      </w:pPr>
      <w:r>
        <w:separator/>
      </w:r>
    </w:p>
  </w:endnote>
  <w:endnote w:type="continuationSeparator" w:id="0">
    <w:p w:rsidR="00B17980" w:rsidRDefault="00B17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DFont+F4">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980" w:rsidRDefault="00B17980">
      <w:pPr>
        <w:spacing w:after="0"/>
      </w:pPr>
      <w:r>
        <w:separator/>
      </w:r>
    </w:p>
  </w:footnote>
  <w:footnote w:type="continuationSeparator" w:id="0">
    <w:p w:rsidR="00B17980" w:rsidRDefault="00B179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2484F"/>
    <w:multiLevelType w:val="multilevel"/>
    <w:tmpl w:val="3772484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D7E50A9"/>
    <w:multiLevelType w:val="hybridMultilevel"/>
    <w:tmpl w:val="352669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53416F4"/>
    <w:multiLevelType w:val="hybridMultilevel"/>
    <w:tmpl w:val="352669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695164C"/>
    <w:multiLevelType w:val="multilevel"/>
    <w:tmpl w:val="469516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59BF4FF2"/>
    <w:multiLevelType w:val="multilevel"/>
    <w:tmpl w:val="59BF4FF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73431321"/>
    <w:multiLevelType w:val="multilevel"/>
    <w:tmpl w:val="469516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6B"/>
    <w:rsid w:val="00002324"/>
    <w:rsid w:val="000400E3"/>
    <w:rsid w:val="000455F3"/>
    <w:rsid w:val="00055A89"/>
    <w:rsid w:val="00064C6B"/>
    <w:rsid w:val="000B0B4A"/>
    <w:rsid w:val="000C28E9"/>
    <w:rsid w:val="000C43BB"/>
    <w:rsid w:val="00134121"/>
    <w:rsid w:val="00141449"/>
    <w:rsid w:val="00156B6D"/>
    <w:rsid w:val="001A03A7"/>
    <w:rsid w:val="001B2B8D"/>
    <w:rsid w:val="001C018E"/>
    <w:rsid w:val="001D0120"/>
    <w:rsid w:val="001D2215"/>
    <w:rsid w:val="001E0D36"/>
    <w:rsid w:val="001E36C9"/>
    <w:rsid w:val="00206663"/>
    <w:rsid w:val="00216777"/>
    <w:rsid w:val="0022127A"/>
    <w:rsid w:val="00242832"/>
    <w:rsid w:val="00262BBD"/>
    <w:rsid w:val="0028110D"/>
    <w:rsid w:val="00283E65"/>
    <w:rsid w:val="002944BF"/>
    <w:rsid w:val="002971FF"/>
    <w:rsid w:val="002A1C17"/>
    <w:rsid w:val="002A3072"/>
    <w:rsid w:val="002B091B"/>
    <w:rsid w:val="002B579F"/>
    <w:rsid w:val="002E1601"/>
    <w:rsid w:val="002F4FD3"/>
    <w:rsid w:val="00304284"/>
    <w:rsid w:val="00310E4C"/>
    <w:rsid w:val="00311D2E"/>
    <w:rsid w:val="00325DF4"/>
    <w:rsid w:val="00333EE5"/>
    <w:rsid w:val="00337CB6"/>
    <w:rsid w:val="00353B31"/>
    <w:rsid w:val="0036108E"/>
    <w:rsid w:val="003767E5"/>
    <w:rsid w:val="00395AAE"/>
    <w:rsid w:val="003A631A"/>
    <w:rsid w:val="003B5E2D"/>
    <w:rsid w:val="003E175F"/>
    <w:rsid w:val="00404B58"/>
    <w:rsid w:val="00410427"/>
    <w:rsid w:val="00417A90"/>
    <w:rsid w:val="00443178"/>
    <w:rsid w:val="00446E72"/>
    <w:rsid w:val="00465FE4"/>
    <w:rsid w:val="004A0C1C"/>
    <w:rsid w:val="004A7B9E"/>
    <w:rsid w:val="004B15CB"/>
    <w:rsid w:val="004B18E3"/>
    <w:rsid w:val="004B7422"/>
    <w:rsid w:val="004D1342"/>
    <w:rsid w:val="004F0A39"/>
    <w:rsid w:val="00517813"/>
    <w:rsid w:val="005367F5"/>
    <w:rsid w:val="00576CF5"/>
    <w:rsid w:val="00591E65"/>
    <w:rsid w:val="005A010D"/>
    <w:rsid w:val="005B79E3"/>
    <w:rsid w:val="005C73BA"/>
    <w:rsid w:val="005D13E6"/>
    <w:rsid w:val="005E4B4E"/>
    <w:rsid w:val="005E6F4E"/>
    <w:rsid w:val="005F705D"/>
    <w:rsid w:val="0060188B"/>
    <w:rsid w:val="00640F2A"/>
    <w:rsid w:val="006516D3"/>
    <w:rsid w:val="006D0B69"/>
    <w:rsid w:val="006E5D3D"/>
    <w:rsid w:val="006F4B27"/>
    <w:rsid w:val="007000C5"/>
    <w:rsid w:val="00707FBF"/>
    <w:rsid w:val="007720C2"/>
    <w:rsid w:val="00777523"/>
    <w:rsid w:val="00796829"/>
    <w:rsid w:val="00797496"/>
    <w:rsid w:val="007B534B"/>
    <w:rsid w:val="007D5FDE"/>
    <w:rsid w:val="007E4B2C"/>
    <w:rsid w:val="007E668A"/>
    <w:rsid w:val="0085379C"/>
    <w:rsid w:val="0087550E"/>
    <w:rsid w:val="00893311"/>
    <w:rsid w:val="008946BC"/>
    <w:rsid w:val="008A50B6"/>
    <w:rsid w:val="008A58DE"/>
    <w:rsid w:val="008B30AB"/>
    <w:rsid w:val="008E7ADA"/>
    <w:rsid w:val="008F3766"/>
    <w:rsid w:val="009070AA"/>
    <w:rsid w:val="00911154"/>
    <w:rsid w:val="00914381"/>
    <w:rsid w:val="009205E4"/>
    <w:rsid w:val="00930955"/>
    <w:rsid w:val="00946F68"/>
    <w:rsid w:val="00947CB5"/>
    <w:rsid w:val="00952EB1"/>
    <w:rsid w:val="009730EE"/>
    <w:rsid w:val="009B254F"/>
    <w:rsid w:val="009C39B5"/>
    <w:rsid w:val="009D63DA"/>
    <w:rsid w:val="009E4661"/>
    <w:rsid w:val="009F41F3"/>
    <w:rsid w:val="00A044A2"/>
    <w:rsid w:val="00A071F5"/>
    <w:rsid w:val="00A14FFD"/>
    <w:rsid w:val="00A307D4"/>
    <w:rsid w:val="00A32102"/>
    <w:rsid w:val="00A53B1A"/>
    <w:rsid w:val="00A6495C"/>
    <w:rsid w:val="00A725A0"/>
    <w:rsid w:val="00AA05C3"/>
    <w:rsid w:val="00AA5A21"/>
    <w:rsid w:val="00AE0B5E"/>
    <w:rsid w:val="00B06DC9"/>
    <w:rsid w:val="00B1295F"/>
    <w:rsid w:val="00B14CCF"/>
    <w:rsid w:val="00B17980"/>
    <w:rsid w:val="00B17BC7"/>
    <w:rsid w:val="00B620A6"/>
    <w:rsid w:val="00B77C35"/>
    <w:rsid w:val="00B92AF7"/>
    <w:rsid w:val="00B93984"/>
    <w:rsid w:val="00BB07A2"/>
    <w:rsid w:val="00BB549A"/>
    <w:rsid w:val="00BD2117"/>
    <w:rsid w:val="00BD3BF8"/>
    <w:rsid w:val="00BE1D13"/>
    <w:rsid w:val="00BE240D"/>
    <w:rsid w:val="00BE4BFD"/>
    <w:rsid w:val="00BF10EE"/>
    <w:rsid w:val="00BF576B"/>
    <w:rsid w:val="00C0292F"/>
    <w:rsid w:val="00C3687D"/>
    <w:rsid w:val="00C4186B"/>
    <w:rsid w:val="00C5713D"/>
    <w:rsid w:val="00C753C2"/>
    <w:rsid w:val="00C904E9"/>
    <w:rsid w:val="00CE2AF5"/>
    <w:rsid w:val="00CE6A80"/>
    <w:rsid w:val="00CF0A22"/>
    <w:rsid w:val="00CF3A29"/>
    <w:rsid w:val="00D1454C"/>
    <w:rsid w:val="00D661B1"/>
    <w:rsid w:val="00D9445A"/>
    <w:rsid w:val="00DE1F26"/>
    <w:rsid w:val="00DF4849"/>
    <w:rsid w:val="00E0680B"/>
    <w:rsid w:val="00E30821"/>
    <w:rsid w:val="00E378EC"/>
    <w:rsid w:val="00E4425F"/>
    <w:rsid w:val="00E543F1"/>
    <w:rsid w:val="00E54883"/>
    <w:rsid w:val="00E5652D"/>
    <w:rsid w:val="00E62ECC"/>
    <w:rsid w:val="00E63DEA"/>
    <w:rsid w:val="00E67D52"/>
    <w:rsid w:val="00E7342C"/>
    <w:rsid w:val="00E7474C"/>
    <w:rsid w:val="00E749F9"/>
    <w:rsid w:val="00E9641E"/>
    <w:rsid w:val="00EB6AD5"/>
    <w:rsid w:val="00EE7362"/>
    <w:rsid w:val="00EF3D4D"/>
    <w:rsid w:val="00F206B3"/>
    <w:rsid w:val="00F2499E"/>
    <w:rsid w:val="00F30903"/>
    <w:rsid w:val="00F325A5"/>
    <w:rsid w:val="00F578F8"/>
    <w:rsid w:val="00F67CD5"/>
    <w:rsid w:val="00FB2F95"/>
    <w:rsid w:val="012D17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E7B86-0478-498D-B75C-E6553DD4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pPr>
      <w:ind w:left="720"/>
      <w:contextualSpacing/>
    </w:pPr>
  </w:style>
  <w:style w:type="character" w:customStyle="1" w:styleId="fontstyle01">
    <w:name w:val="fontstyle01"/>
    <w:basedOn w:val="a0"/>
    <w:rPr>
      <w:rFonts w:ascii="Times New Roman" w:hAnsi="Times New Roman" w:cs="Times New Roman" w:hint="default"/>
      <w:color w:val="000000"/>
      <w:sz w:val="28"/>
      <w:szCs w:val="28"/>
    </w:rPr>
  </w:style>
  <w:style w:type="character" w:customStyle="1" w:styleId="a5">
    <w:name w:val="Абзац списка Знак"/>
    <w:link w:val="a4"/>
    <w:uiPriority w:val="34"/>
    <w:locked/>
  </w:style>
  <w:style w:type="character" w:customStyle="1" w:styleId="fontstyle21">
    <w:name w:val="fontstyle21"/>
    <w:basedOn w:val="a0"/>
    <w:rPr>
      <w:rFonts w:ascii="CIDFont+F4" w:hAnsi="CIDFont+F4" w:hint="default"/>
      <w:color w:val="000000"/>
      <w:sz w:val="20"/>
      <w:szCs w:val="20"/>
    </w:rPr>
  </w:style>
  <w:style w:type="paragraph" w:styleId="a6">
    <w:name w:val="Balloon Text"/>
    <w:basedOn w:val="a"/>
    <w:link w:val="a7"/>
    <w:uiPriority w:val="99"/>
    <w:semiHidden/>
    <w:unhideWhenUsed/>
    <w:rsid w:val="006516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516D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8206B8B-E558-4A35-98EF-E03C7AE6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12</Pages>
  <Words>15006</Words>
  <Characters>85536</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Марина</dc:creator>
  <cp:lastModifiedBy>Марина Марина</cp:lastModifiedBy>
  <cp:revision>179</cp:revision>
  <cp:lastPrinted>2023-12-06T12:09:00Z</cp:lastPrinted>
  <dcterms:created xsi:type="dcterms:W3CDTF">2023-02-06T05:32:00Z</dcterms:created>
  <dcterms:modified xsi:type="dcterms:W3CDTF">2024-09-24T13:48:00Z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http://www.zotero.org/styles/heliyon</vt:lpwstr>
  </property>
  <property fmtid="{D5CDD505-2E9C-101B-9397-08002B2CF9AE}" pid="5" name="Mendeley Recent Style Name 1_1">
    <vt:lpwstr>Heliyon</vt:lpwstr>
  </property>
  <property fmtid="{D5CDD505-2E9C-101B-9397-08002B2CF9AE}" pid="6" name="Mendeley Recent Style Id 2_1">
    <vt:lpwstr>http://www.zotero.org/styles/international-journal-of-nursing-studies</vt:lpwstr>
  </property>
  <property fmtid="{D5CDD505-2E9C-101B-9397-08002B2CF9AE}" pid="7" name="Mendeley Recent Style Name 2_1">
    <vt:lpwstr>International Journal of Nursing Studies</vt:lpwstr>
  </property>
  <property fmtid="{D5CDD505-2E9C-101B-9397-08002B2CF9AE}" pid="8" name="Mendeley Recent Style Id 3_1">
    <vt:lpwstr>http://www.zotero.org/styles/journal-of-nephrology</vt:lpwstr>
  </property>
  <property fmtid="{D5CDD505-2E9C-101B-9397-08002B2CF9AE}" pid="9" name="Mendeley Recent Style Name 3_1">
    <vt:lpwstr>Journal of Nephrology</vt:lpwstr>
  </property>
  <property fmtid="{D5CDD505-2E9C-101B-9397-08002B2CF9AE}" pid="10" name="Mendeley Recent Style Id 4_1">
    <vt:lpwstr>http://www.zotero.org/styles/kidney-research-and-clinical-practice</vt:lpwstr>
  </property>
  <property fmtid="{D5CDD505-2E9C-101B-9397-08002B2CF9AE}" pid="11" name="Mendeley Recent Style Name 4_1">
    <vt:lpwstr>Kidney Research and Clinical Practice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http://www.zotero.org/styles/nutrition</vt:lpwstr>
  </property>
  <property fmtid="{D5CDD505-2E9C-101B-9397-08002B2CF9AE}" pid="15" name="Mendeley Recent Style Name 6_1">
    <vt:lpwstr>Nutrition</vt:lpwstr>
  </property>
  <property fmtid="{D5CDD505-2E9C-101B-9397-08002B2CF9AE}" pid="16" name="Mendeley Recent Style Id 7_1">
    <vt:lpwstr>http://www.zotero.org/styles/gost-r-7-0-5-2008</vt:lpwstr>
  </property>
  <property fmtid="{D5CDD505-2E9C-101B-9397-08002B2CF9AE}" pid="17" name="Mendeley Recent Style Name 7_1">
    <vt:lpwstr>Russian GOST R 7.0.5-2008 (Russian)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http://www.zotero.org/styles/scientific-reports</vt:lpwstr>
  </property>
  <property fmtid="{D5CDD505-2E9C-101B-9397-08002B2CF9AE}" pid="21" name="Mendeley Recent Style Name 9_1">
    <vt:lpwstr>Scientific Reports</vt:lpwstr>
  </property>
  <property fmtid="{D5CDD505-2E9C-101B-9397-08002B2CF9AE}" pid="22" name="Mendeley Document_1">
    <vt:lpwstr>True</vt:lpwstr>
  </property>
  <property fmtid="{D5CDD505-2E9C-101B-9397-08002B2CF9AE}" pid="23" name="Mendeley Unique User Id_1">
    <vt:lpwstr>8739ab9e-fd2e-354e-950e-a812ceea26f2</vt:lpwstr>
  </property>
  <property fmtid="{D5CDD505-2E9C-101B-9397-08002B2CF9AE}" pid="24" name="Mendeley Citation Style_1">
    <vt:lpwstr>http://www.zotero.org/styles/gost-r-7-0-5-2008-numeric</vt:lpwstr>
  </property>
  <property fmtid="{D5CDD505-2E9C-101B-9397-08002B2CF9AE}" pid="25" name="KSOProductBuildVer">
    <vt:lpwstr>1049-12.2.0.13266</vt:lpwstr>
  </property>
  <property fmtid="{D5CDD505-2E9C-101B-9397-08002B2CF9AE}" pid="26" name="ICV">
    <vt:lpwstr>25B2B96D97DE4B3DB3762D2D4F62925A_12</vt:lpwstr>
  </property>
</Properties>
</file>